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E9102C" w14:textId="4D79F9D4" w:rsidR="000A76D8" w:rsidRPr="00242BDA" w:rsidRDefault="000A76D8" w:rsidP="000A76D8">
      <w:pPr>
        <w:jc w:val="right"/>
        <w:rPr>
          <w:rFonts w:ascii="Century Gothic" w:eastAsia="SimSun" w:hAnsi="Century Gothic" w:cstheme="majorBidi"/>
          <w:b/>
          <w:color w:val="943634" w:themeColor="accent2" w:themeShade="BF"/>
          <w:kern w:val="24"/>
          <w:sz w:val="96"/>
          <w:szCs w:val="108"/>
        </w:rPr>
      </w:pPr>
      <w:r w:rsidRPr="00242BDA">
        <w:rPr>
          <w:rFonts w:ascii="Century Gothic" w:hAnsi="Century Gothic"/>
          <w:b/>
          <w:color w:val="943634" w:themeColor="accent2" w:themeShade="BF"/>
          <w:sz w:val="108"/>
        </w:rPr>
        <w:drawing>
          <wp:anchor distT="0" distB="0" distL="114300" distR="114300" simplePos="0" relativeHeight="251662336" behindDoc="1" locked="0" layoutInCell="1" allowOverlap="1" wp14:anchorId="0B9A8C3B" wp14:editId="43026E8D">
            <wp:simplePos x="0" y="0"/>
            <wp:positionH relativeFrom="column">
              <wp:posOffset>-553453</wp:posOffset>
            </wp:positionH>
            <wp:positionV relativeFrom="paragraph">
              <wp:posOffset>-529389</wp:posOffset>
            </wp:positionV>
            <wp:extent cx="7026442" cy="9817768"/>
            <wp:effectExtent l="0" t="0" r="3175" b="0"/>
            <wp:wrapNone/>
            <wp:docPr id="4" name="Picture 4" descr="C:\Users\Rafael.Barbieri\Desktop\PK Photos\573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fael.Barbieri\Desktop\PK Photos\573454.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artisticPhotocopy/>
                              </a14:imgEffect>
                              <a14:imgEffect>
                                <a14:brightnessContrast bright="-32000" contrast="14000"/>
                              </a14:imgEffect>
                            </a14:imgLayer>
                          </a14:imgProps>
                        </a:ext>
                        <a:ext uri="{28A0092B-C50C-407E-A947-70E740481C1C}">
                          <a14:useLocalDpi xmlns:a14="http://schemas.microsoft.com/office/drawing/2010/main" val="0"/>
                        </a:ext>
                      </a:extLst>
                    </a:blip>
                    <a:srcRect l="33381" r="17797"/>
                    <a:stretch/>
                  </pic:blipFill>
                  <pic:spPr bwMode="auto">
                    <a:xfrm>
                      <a:off x="0" y="0"/>
                      <a:ext cx="7026360" cy="9817654"/>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42BDA">
        <w:t xml:space="preserve"> </w:t>
      </w:r>
      <w:r w:rsidRPr="00242BDA">
        <w:rPr>
          <w:rFonts w:ascii="Century Gothic" w:hAnsi="Century Gothic"/>
          <w:b/>
          <w:color w:val="943634" w:themeColor="accent2" w:themeShade="BF"/>
          <w:sz w:val="96"/>
        </w:rPr>
        <w:t>Lutter contre les MDMD</w:t>
      </w:r>
    </w:p>
    <w:p w14:paraId="5A1E662A" w14:textId="77777777" w:rsidR="000A76D8" w:rsidRPr="00242BDA" w:rsidRDefault="000A76D8" w:rsidP="000A76D8">
      <w:pPr>
        <w:jc w:val="right"/>
        <w:rPr>
          <w:rFonts w:ascii="Century Gothic" w:eastAsia="SimSun" w:hAnsi="Century Gothic" w:cstheme="majorBidi"/>
          <w:b/>
          <w:color w:val="FFFFFF" w:themeColor="background1"/>
          <w:kern w:val="24"/>
          <w:sz w:val="2"/>
          <w:szCs w:val="108"/>
        </w:rPr>
      </w:pPr>
    </w:p>
    <w:p w14:paraId="5B422E9A" w14:textId="556840C9" w:rsidR="000A76D8" w:rsidRPr="00242BDA" w:rsidRDefault="000A76D8" w:rsidP="000A76D8">
      <w:pPr>
        <w:jc w:val="right"/>
        <w:rPr>
          <w:rFonts w:ascii="Century Gothic" w:eastAsia="SimSun" w:hAnsi="Century Gothic"/>
          <w:b/>
          <w:color w:val="D9D9D9" w:themeColor="background1" w:themeShade="D9"/>
          <w:kern w:val="24"/>
          <w:sz w:val="56"/>
          <w:szCs w:val="100"/>
        </w:rPr>
      </w:pPr>
      <w:r w:rsidRPr="00242BDA">
        <w:rPr>
          <w:rFonts w:ascii="Century Gothic" w:hAnsi="Century Gothic"/>
          <w:b/>
          <w:color w:val="D9D9D9" w:themeColor="background1" w:themeShade="D9"/>
          <w:sz w:val="56"/>
        </w:rPr>
        <w:t xml:space="preserve">Exercice basé sur </w:t>
      </w:r>
      <w:r w:rsidR="00E67B36" w:rsidRPr="00242BDA">
        <w:rPr>
          <w:rFonts w:ascii="Century Gothic" w:hAnsi="Century Gothic"/>
          <w:b/>
          <w:color w:val="D9D9D9" w:themeColor="background1" w:themeShade="D9"/>
          <w:sz w:val="56"/>
        </w:rPr>
        <w:t>un</w:t>
      </w:r>
      <w:r w:rsidRPr="00242BDA">
        <w:rPr>
          <w:rFonts w:ascii="Century Gothic" w:hAnsi="Century Gothic"/>
          <w:b/>
          <w:color w:val="D9D9D9" w:themeColor="background1" w:themeShade="D9"/>
          <w:sz w:val="56"/>
        </w:rPr>
        <w:t xml:space="preserve"> scénario</w:t>
      </w:r>
    </w:p>
    <w:p w14:paraId="15029F84" w14:textId="77777777" w:rsidR="000A76D8" w:rsidRPr="00242BDA" w:rsidRDefault="000A76D8" w:rsidP="000A76D8">
      <w:pPr>
        <w:jc w:val="right"/>
        <w:rPr>
          <w:rFonts w:ascii="Century Gothic" w:eastAsia="SimSun" w:hAnsi="Century Gothic"/>
          <w:b/>
          <w:color w:val="D9D9D9" w:themeColor="background1" w:themeShade="D9"/>
          <w:kern w:val="24"/>
          <w:sz w:val="56"/>
          <w:szCs w:val="100"/>
        </w:rPr>
      </w:pPr>
    </w:p>
    <w:p w14:paraId="20AE4F11" w14:textId="77777777" w:rsidR="000A76D8" w:rsidRPr="00242BDA" w:rsidRDefault="000A76D8" w:rsidP="000A76D8">
      <w:pPr>
        <w:tabs>
          <w:tab w:val="left" w:pos="14130"/>
        </w:tabs>
        <w:ind w:right="386"/>
        <w:jc w:val="right"/>
        <w:rPr>
          <w:rFonts w:ascii="Century Gothic" w:eastAsia="SimSun" w:hAnsi="Century Gothic"/>
          <w:kern w:val="24"/>
          <w:sz w:val="20"/>
          <w:szCs w:val="100"/>
        </w:rPr>
      </w:pPr>
    </w:p>
    <w:p w14:paraId="5A1BF6EC" w14:textId="77777777" w:rsidR="000A76D8" w:rsidRPr="00242BDA" w:rsidRDefault="000A76D8" w:rsidP="000A76D8">
      <w:pPr>
        <w:tabs>
          <w:tab w:val="left" w:pos="14130"/>
        </w:tabs>
        <w:ind w:right="386"/>
        <w:jc w:val="right"/>
        <w:rPr>
          <w:rFonts w:ascii="Century Gothic" w:eastAsia="SimSun" w:hAnsi="Century Gothic"/>
          <w:kern w:val="24"/>
          <w:sz w:val="28"/>
          <w:szCs w:val="100"/>
        </w:rPr>
      </w:pPr>
    </w:p>
    <w:p w14:paraId="7DDC9AF7" w14:textId="77777777" w:rsidR="000A76D8" w:rsidRPr="00242BDA" w:rsidRDefault="000A76D8" w:rsidP="000A76D8">
      <w:pPr>
        <w:jc w:val="center"/>
        <w:rPr>
          <w:rFonts w:ascii="Century Gothic" w:eastAsia="SimSun" w:hAnsi="Century Gothic"/>
          <w:b/>
          <w:kern w:val="24"/>
          <w:sz w:val="56"/>
          <w:szCs w:val="100"/>
        </w:rPr>
      </w:pPr>
      <w:r w:rsidRPr="00242BDA">
        <w:rPr>
          <w:rFonts w:ascii="Century Gothic" w:hAnsi="Century Gothic"/>
          <w:b/>
          <w:sz w:val="56"/>
        </w:rPr>
        <w:t xml:space="preserve"> </w:t>
      </w:r>
    </w:p>
    <w:p w14:paraId="1331F0C4" w14:textId="77777777" w:rsidR="000A76D8" w:rsidRPr="00242BDA" w:rsidRDefault="000A76D8" w:rsidP="000A76D8">
      <w:pPr>
        <w:rPr>
          <w:rFonts w:ascii="Century Gothic" w:eastAsia="SimSun" w:hAnsi="Century Gothic"/>
          <w:b/>
          <w:kern w:val="24"/>
          <w:sz w:val="56"/>
          <w:szCs w:val="100"/>
        </w:rPr>
      </w:pPr>
    </w:p>
    <w:p w14:paraId="7DEE4C91" w14:textId="77777777" w:rsidR="000A76D8" w:rsidRPr="00242BDA" w:rsidRDefault="000A76D8" w:rsidP="000A76D8">
      <w:pPr>
        <w:tabs>
          <w:tab w:val="left" w:pos="14130"/>
        </w:tabs>
        <w:ind w:right="386"/>
        <w:jc w:val="right"/>
        <w:rPr>
          <w:rFonts w:ascii="Century Gothic" w:eastAsia="SimSun" w:hAnsi="Century Gothic"/>
          <w:color w:val="FFFFFF" w:themeColor="background1"/>
          <w:kern w:val="24"/>
          <w:sz w:val="52"/>
          <w:szCs w:val="100"/>
        </w:rPr>
      </w:pPr>
    </w:p>
    <w:p w14:paraId="39FC4DD0" w14:textId="15B6A3DD" w:rsidR="000A76D8" w:rsidRPr="00242BDA" w:rsidRDefault="000A76D8" w:rsidP="000A76D8">
      <w:pPr>
        <w:jc w:val="right"/>
        <w:rPr>
          <w:rFonts w:ascii="Century Gothic" w:eastAsia="SimSun" w:hAnsi="Century Gothic"/>
          <w:b/>
          <w:color w:val="D9D9D9" w:themeColor="background1" w:themeShade="D9"/>
          <w:kern w:val="24"/>
          <w:sz w:val="50"/>
          <w:szCs w:val="50"/>
        </w:rPr>
      </w:pPr>
      <w:r w:rsidRPr="00242BDA">
        <w:rPr>
          <w:rFonts w:ascii="Century Gothic" w:hAnsi="Century Gothic"/>
          <w:color w:val="D9D9D9" w:themeColor="background1" w:themeShade="D9"/>
          <w:sz w:val="50"/>
        </w:rPr>
        <w:t>Formation à la planification tactique préalable au déploiement pour les unités militaires et de police</w:t>
      </w:r>
      <w:r w:rsidRPr="00242BDA">
        <w:rPr>
          <w:rFonts w:ascii="Century Gothic" w:hAnsi="Century Gothic"/>
          <w:color w:val="FF0000"/>
          <w:sz w:val="50"/>
        </w:rPr>
        <w:t xml:space="preserve"> </w:t>
      </w:r>
      <w:r w:rsidRPr="00242BDA">
        <w:rPr>
          <w:rFonts w:ascii="Century Gothic" w:hAnsi="Century Gothic"/>
          <w:color w:val="D9D9D9" w:themeColor="background1" w:themeShade="D9"/>
          <w:sz w:val="50"/>
        </w:rPr>
        <w:t>dans les opérations de maintien de la paix des Nations unies</w:t>
      </w:r>
      <w:r w:rsidRPr="00242BDA">
        <w:rPr>
          <w:rFonts w:ascii="Century Gothic" w:hAnsi="Century Gothic"/>
        </w:rPr>
        <w:br w:type="page"/>
      </w:r>
      <w:r w:rsidRPr="00242BDA">
        <w:rPr>
          <w:color w:val="558ED5"/>
          <w:sz w:val="56"/>
        </w:rPr>
        <w:lastRenderedPageBreak/>
        <mc:AlternateContent>
          <mc:Choice Requires="wps">
            <w:drawing>
              <wp:anchor distT="0" distB="0" distL="114300" distR="114300" simplePos="0" relativeHeight="251661312" behindDoc="1" locked="0" layoutInCell="1" allowOverlap="1" wp14:anchorId="4F57FD20" wp14:editId="7D968FA9">
                <wp:simplePos x="0" y="0"/>
                <wp:positionH relativeFrom="column">
                  <wp:posOffset>-326559</wp:posOffset>
                </wp:positionH>
                <wp:positionV relativeFrom="paragraph">
                  <wp:posOffset>-872849</wp:posOffset>
                </wp:positionV>
                <wp:extent cx="2148840" cy="2707005"/>
                <wp:effectExtent l="44767" t="31433" r="86678" b="86677"/>
                <wp:wrapNone/>
                <wp:docPr id="12" name="L-Shape 12"/>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06E631B1" id="L-Shape 12" o:spid="_x0000_s1026" style="position:absolute;margin-left:-25.7pt;margin-top:-68.75pt;width:169.2pt;height:213.15pt;rotation:90;z-index:-251655168;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242BDA">
        <w:rPr>
          <w:rFonts w:ascii="Century Gothic" w:hAnsi="Century Gothic"/>
          <w:color w:val="558ED5"/>
          <w:sz w:val="96"/>
        </w:rPr>
        <w:t xml:space="preserve"> </w:t>
      </w:r>
    </w:p>
    <w:p w14:paraId="1F41F736" w14:textId="3A1328AA" w:rsidR="000A76D8" w:rsidRPr="00242BDA" w:rsidRDefault="00D77A33" w:rsidP="000A76D8">
      <w:pPr>
        <w:tabs>
          <w:tab w:val="left" w:pos="14130"/>
        </w:tabs>
        <w:ind w:right="386"/>
        <w:jc w:val="right"/>
        <w:rPr>
          <w:rFonts w:ascii="Century Gothic" w:eastAsia="SimSun" w:hAnsi="Century Gothic" w:cstheme="majorBidi"/>
          <w:color w:val="558ED5"/>
          <w:kern w:val="24"/>
          <w:sz w:val="96"/>
          <w:szCs w:val="108"/>
        </w:rPr>
      </w:pPr>
      <w:r w:rsidRPr="00242BDA">
        <w:rPr>
          <w:rFonts w:ascii="Century Gothic" w:hAnsi="Century Gothic"/>
          <w:color w:val="558ED5"/>
          <w:sz w:val="96"/>
        </w:rPr>
        <w:t>Lutter contre les</w:t>
      </w:r>
      <w:r w:rsidR="008A74A3" w:rsidRPr="00242BDA">
        <w:rPr>
          <w:rFonts w:ascii="Century Gothic" w:hAnsi="Century Gothic"/>
          <w:color w:val="558ED5"/>
          <w:sz w:val="96"/>
        </w:rPr>
        <w:t xml:space="preserve"> MDMD</w:t>
      </w:r>
    </w:p>
    <w:p w14:paraId="40B59381" w14:textId="77777777" w:rsidR="000A76D8" w:rsidRPr="00242BDA" w:rsidRDefault="000A76D8" w:rsidP="000A76D8">
      <w:pPr>
        <w:tabs>
          <w:tab w:val="left" w:pos="14130"/>
        </w:tabs>
        <w:ind w:right="386"/>
        <w:rPr>
          <w:rFonts w:ascii="Century Gothic" w:eastAsia="SimSun" w:hAnsi="Century Gothic"/>
          <w:color w:val="558ED5"/>
          <w:kern w:val="24"/>
          <w:sz w:val="20"/>
          <w:szCs w:val="100"/>
        </w:rPr>
      </w:pPr>
    </w:p>
    <w:p w14:paraId="10E8A13F" w14:textId="0974FF3D" w:rsidR="000A76D8" w:rsidRPr="00242BDA" w:rsidRDefault="000A76D8" w:rsidP="000A76D8">
      <w:pPr>
        <w:tabs>
          <w:tab w:val="left" w:pos="14130"/>
        </w:tabs>
        <w:ind w:right="386"/>
        <w:jc w:val="right"/>
        <w:rPr>
          <w:rFonts w:ascii="Century Gothic" w:eastAsia="SimSun" w:hAnsi="Century Gothic"/>
          <w:b/>
          <w:color w:val="558ED5"/>
          <w:kern w:val="24"/>
          <w:sz w:val="56"/>
          <w:szCs w:val="100"/>
        </w:rPr>
      </w:pPr>
      <w:r w:rsidRPr="00242BDA">
        <w:rPr>
          <w:rFonts w:ascii="Century Gothic" w:hAnsi="Century Gothic"/>
          <w:b/>
          <w:color w:val="558ED5"/>
          <w:sz w:val="56"/>
        </w:rPr>
        <w:t xml:space="preserve">Exercice basé sur </w:t>
      </w:r>
      <w:r w:rsidR="00E67B36" w:rsidRPr="00242BDA">
        <w:rPr>
          <w:rFonts w:ascii="Century Gothic" w:hAnsi="Century Gothic"/>
          <w:b/>
          <w:color w:val="558ED5"/>
          <w:sz w:val="56"/>
        </w:rPr>
        <w:t>un</w:t>
      </w:r>
      <w:r w:rsidRPr="00242BDA">
        <w:rPr>
          <w:rFonts w:ascii="Century Gothic" w:hAnsi="Century Gothic"/>
          <w:b/>
          <w:color w:val="558ED5"/>
          <w:sz w:val="56"/>
        </w:rPr>
        <w:t xml:space="preserve"> scénario</w:t>
      </w:r>
    </w:p>
    <w:p w14:paraId="477E9825" w14:textId="77777777" w:rsidR="000A76D8" w:rsidRPr="00242BDA" w:rsidRDefault="000A76D8" w:rsidP="000A76D8">
      <w:pPr>
        <w:tabs>
          <w:tab w:val="left" w:pos="14130"/>
        </w:tabs>
        <w:ind w:right="386"/>
        <w:jc w:val="right"/>
        <w:rPr>
          <w:rFonts w:ascii="Century Gothic" w:eastAsia="SimSun" w:hAnsi="Century Gothic"/>
          <w:b/>
          <w:color w:val="558ED5"/>
          <w:kern w:val="24"/>
          <w:sz w:val="56"/>
          <w:szCs w:val="100"/>
        </w:rPr>
      </w:pPr>
    </w:p>
    <w:p w14:paraId="5E9FAE5D" w14:textId="15F0BD59" w:rsidR="000A76D8" w:rsidRPr="00242BDA" w:rsidRDefault="000A76D8" w:rsidP="00E55945">
      <w:pPr>
        <w:tabs>
          <w:tab w:val="left" w:pos="14130"/>
        </w:tabs>
        <w:ind w:right="386"/>
        <w:jc w:val="right"/>
        <w:rPr>
          <w:rFonts w:ascii="Century Gothic" w:eastAsia="SimSun" w:hAnsi="Century Gothic"/>
          <w:color w:val="558ED5"/>
          <w:kern w:val="24"/>
          <w:sz w:val="48"/>
          <w:szCs w:val="48"/>
        </w:rPr>
      </w:pPr>
      <w:r w:rsidRPr="00242BDA">
        <w:rPr>
          <w:rFonts w:ascii="Century Gothic" w:hAnsi="Century Gothic"/>
          <w:color w:val="558ED5"/>
          <w:sz w:val="48"/>
        </w:rPr>
        <w:t>Formation à la planification tactique préalable au déploiement pour les unités militaires et de police dans les opérations de maintien de la paix des Nations unies</w:t>
      </w:r>
    </w:p>
    <w:p w14:paraId="2EF10758" w14:textId="403A4254" w:rsidR="000A76D8" w:rsidRPr="00242BDA" w:rsidRDefault="000A76D8" w:rsidP="000A76D8">
      <w:pPr>
        <w:tabs>
          <w:tab w:val="left" w:pos="14130"/>
        </w:tabs>
        <w:ind w:right="386"/>
        <w:jc w:val="right"/>
        <w:rPr>
          <w:rFonts w:ascii="Century Gothic" w:eastAsia="SimSun" w:hAnsi="Century Gothic"/>
          <w:color w:val="558ED5"/>
          <w:kern w:val="24"/>
          <w:sz w:val="48"/>
          <w:szCs w:val="100"/>
        </w:rPr>
      </w:pPr>
    </w:p>
    <w:p w14:paraId="6FB38179" w14:textId="77777777" w:rsidR="000A76D8" w:rsidRPr="00242BDA" w:rsidRDefault="000A76D8" w:rsidP="00AB4BC6">
      <w:pPr>
        <w:tabs>
          <w:tab w:val="left" w:pos="14130"/>
        </w:tabs>
        <w:ind w:right="386"/>
        <w:rPr>
          <w:sz w:val="16"/>
        </w:rPr>
      </w:pPr>
      <w:r w:rsidRPr="00242BDA">
        <w:rPr>
          <w:rFonts w:ascii="Century Gothic" w:hAnsi="Century Gothic"/>
          <w:color w:val="558ED5"/>
          <w:sz w:val="56"/>
        </w:rPr>
        <mc:AlternateContent>
          <mc:Choice Requires="wps">
            <w:drawing>
              <wp:anchor distT="0" distB="0" distL="114300" distR="114300" simplePos="0" relativeHeight="251660288" behindDoc="1" locked="0" layoutInCell="1" allowOverlap="1" wp14:anchorId="14123AD6" wp14:editId="1A67E1B6">
                <wp:simplePos x="0" y="0"/>
                <wp:positionH relativeFrom="column">
                  <wp:posOffset>3840480</wp:posOffset>
                </wp:positionH>
                <wp:positionV relativeFrom="paragraph">
                  <wp:posOffset>18415</wp:posOffset>
                </wp:positionV>
                <wp:extent cx="2148840" cy="2707005"/>
                <wp:effectExtent l="44767" t="31433" r="86678" b="86677"/>
                <wp:wrapNone/>
                <wp:docPr id="5" name="L-Shape 5"/>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63C3D8D7" id="L-Shape 5" o:spid="_x0000_s1026" style="position:absolute;margin-left:302.4pt;margin-top:1.45pt;width:169.2pt;height:213.15pt;rotation:-90;z-index:-251656192;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242BDA">
        <w:drawing>
          <wp:anchor distT="0" distB="0" distL="114300" distR="114300" simplePos="0" relativeHeight="251659264" behindDoc="0" locked="0" layoutInCell="1" allowOverlap="1" wp14:anchorId="1E4ABEEA" wp14:editId="348AC889">
            <wp:simplePos x="0" y="0"/>
            <wp:positionH relativeFrom="column">
              <wp:posOffset>2285465</wp:posOffset>
            </wp:positionH>
            <wp:positionV relativeFrom="paragraph">
              <wp:posOffset>73660</wp:posOffset>
            </wp:positionV>
            <wp:extent cx="1133475" cy="110490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133475" cy="1104900"/>
                    </a:xfrm>
                    <a:prstGeom prst="rect">
                      <a:avLst/>
                    </a:prstGeom>
                  </pic:spPr>
                </pic:pic>
              </a:graphicData>
            </a:graphic>
            <wp14:sizeRelH relativeFrom="page">
              <wp14:pctWidth>0</wp14:pctWidth>
            </wp14:sizeRelH>
            <wp14:sizeRelV relativeFrom="page">
              <wp14:pctHeight>0</wp14:pctHeight>
            </wp14:sizeRelV>
          </wp:anchor>
        </w:drawing>
      </w:r>
      <w:r w:rsidRPr="00242BDA">
        <w:br w:type="page"/>
      </w:r>
    </w:p>
    <w:p w14:paraId="547AFC3C" w14:textId="77777777" w:rsidR="000A76D8" w:rsidRPr="00242BDA" w:rsidRDefault="000A76D8" w:rsidP="000A76D8">
      <w:pPr>
        <w:tabs>
          <w:tab w:val="left" w:pos="14130"/>
        </w:tabs>
        <w:ind w:right="386"/>
        <w:rPr>
          <w:rFonts w:ascii="Century Gothic" w:eastAsia="SimSun" w:hAnsi="Century Gothic"/>
          <w:color w:val="558ED5"/>
          <w:kern w:val="24"/>
          <w:sz w:val="40"/>
          <w:szCs w:val="100"/>
        </w:rPr>
      </w:pPr>
      <w:r w:rsidRPr="00242BDA">
        <w:rPr>
          <w:rFonts w:ascii="Century Gothic" w:hAnsi="Century Gothic"/>
          <w:color w:val="558ED5"/>
          <w:sz w:val="40"/>
        </w:rPr>
        <w:lastRenderedPageBreak/>
        <w:t>Table des matières</w:t>
      </w:r>
    </w:p>
    <w:p w14:paraId="0D2B7E9D" w14:textId="77777777" w:rsidR="000A76D8" w:rsidRPr="00242BDA" w:rsidRDefault="000A76D8" w:rsidP="000A76D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rPr>
      </w:pPr>
      <w:r w:rsidRPr="00242BDA">
        <w:rPr>
          <w:rFonts w:ascii="Century Gothic" w:hAnsi="Century Gothic"/>
          <w:b/>
          <w:color w:val="000000" w:themeColor="text1"/>
        </w:rPr>
        <w:t>Orientations</w:t>
      </w:r>
    </w:p>
    <w:p w14:paraId="58A50754" w14:textId="77777777" w:rsidR="000A76D8" w:rsidRPr="00242BDA" w:rsidRDefault="008371A6" w:rsidP="000A76D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rPr>
      </w:pPr>
      <w:r w:rsidRPr="00242BDA">
        <w:rPr>
          <w:rFonts w:ascii="Century Gothic" w:hAnsi="Century Gothic"/>
          <w:b/>
          <w:color w:val="000000" w:themeColor="text1"/>
        </w:rPr>
        <w:t>Documents de base</w:t>
      </w:r>
    </w:p>
    <w:p w14:paraId="4E17077E" w14:textId="477ECAF7" w:rsidR="000A76D8" w:rsidRPr="00242BDA" w:rsidRDefault="00153073"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rPr>
      </w:pPr>
      <w:r w:rsidRPr="00242BDA">
        <w:rPr>
          <w:rFonts w:ascii="Century Gothic" w:hAnsi="Century Gothic"/>
          <w:color w:val="000000" w:themeColor="text1"/>
        </w:rPr>
        <w:t>Résolution</w:t>
      </w:r>
      <w:r w:rsidR="00CA1B5A" w:rsidRPr="00242BDA">
        <w:rPr>
          <w:rFonts w:ascii="Century Gothic" w:hAnsi="Century Gothic"/>
          <w:color w:val="000000" w:themeColor="text1"/>
        </w:rPr>
        <w:t xml:space="preserve"> 1544 </w:t>
      </w:r>
      <w:r w:rsidRPr="00242BDA">
        <w:rPr>
          <w:rFonts w:ascii="Century Gothic" w:hAnsi="Century Gothic"/>
          <w:color w:val="000000" w:themeColor="text1"/>
        </w:rPr>
        <w:t xml:space="preserve">du Conseil de sécurité </w:t>
      </w:r>
      <w:r w:rsidR="00CA1B5A" w:rsidRPr="00242BDA">
        <w:rPr>
          <w:rFonts w:ascii="Century Gothic" w:hAnsi="Century Gothic"/>
          <w:color w:val="000000" w:themeColor="text1"/>
        </w:rPr>
        <w:t xml:space="preserve">MANUC </w:t>
      </w:r>
    </w:p>
    <w:p w14:paraId="64874EC7" w14:textId="0C0BDAA1"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CONOPS</w:t>
      </w:r>
      <w:r w:rsidR="00D77A33" w:rsidRPr="00242BDA">
        <w:rPr>
          <w:rFonts w:ascii="Century Gothic" w:hAnsi="Century Gothic"/>
        </w:rPr>
        <w:t xml:space="preserve"> </w:t>
      </w:r>
      <w:r w:rsidRPr="00242BDA">
        <w:rPr>
          <w:rFonts w:ascii="Century Gothic" w:hAnsi="Century Gothic"/>
          <w:color w:val="000000" w:themeColor="text1"/>
        </w:rPr>
        <w:t>de la mission</w:t>
      </w:r>
      <w:r w:rsidRPr="00242BDA">
        <w:rPr>
          <w:rFonts w:ascii="Century Gothic" w:hAnsi="Century Gothic"/>
        </w:rPr>
        <w:t xml:space="preserve"> </w:t>
      </w:r>
    </w:p>
    <w:p w14:paraId="35E6189D" w14:textId="77777777"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CONOPS de la composante militaire </w:t>
      </w:r>
    </w:p>
    <w:p w14:paraId="574AFD39" w14:textId="60F7B0F2" w:rsidR="000A76D8" w:rsidRPr="00242BDA" w:rsidRDefault="008A4FB3"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OPORD du Commandant de la Force</w:t>
      </w:r>
      <w:r w:rsidR="000A76D8" w:rsidRPr="00242BDA">
        <w:rPr>
          <w:rFonts w:ascii="Century Gothic" w:hAnsi="Century Gothic"/>
        </w:rPr>
        <w:t xml:space="preserve"> </w:t>
      </w:r>
    </w:p>
    <w:p w14:paraId="72E16AC4" w14:textId="50090383" w:rsidR="000A76D8" w:rsidRPr="00242BDA" w:rsidRDefault="00153073"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Ordre préparatoire </w:t>
      </w:r>
      <w:r w:rsidR="008A4FB3" w:rsidRPr="00242BDA">
        <w:rPr>
          <w:rFonts w:ascii="Century Gothic" w:hAnsi="Century Gothic"/>
        </w:rPr>
        <w:t>QG de</w:t>
      </w:r>
      <w:r w:rsidRPr="00242BDA">
        <w:rPr>
          <w:rFonts w:ascii="Century Gothic" w:hAnsi="Century Gothic"/>
        </w:rPr>
        <w:t xml:space="preserve"> secteur 2</w:t>
      </w:r>
      <w:r w:rsidR="000A76D8" w:rsidRPr="00242BDA">
        <w:rPr>
          <w:rFonts w:ascii="Century Gothic" w:hAnsi="Century Gothic"/>
        </w:rPr>
        <w:t xml:space="preserve"> - (Exigence EBS, inclut le contenu lié aux MDMD) </w:t>
      </w:r>
    </w:p>
    <w:p w14:paraId="4CC9D318" w14:textId="6C9B077D" w:rsidR="000A76D8" w:rsidRPr="00242BDA" w:rsidRDefault="00344EB5"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Situation actuelle dans la ZDR (inclut le </w:t>
      </w:r>
      <w:bookmarkStart w:id="0" w:name="_Hlk161387288"/>
      <w:r w:rsidRPr="00242BDA">
        <w:rPr>
          <w:rFonts w:ascii="Century Gothic" w:hAnsi="Century Gothic"/>
        </w:rPr>
        <w:t>contenu relatif aux MDMD</w:t>
      </w:r>
      <w:bookmarkEnd w:id="0"/>
      <w:r w:rsidRPr="00242BDA">
        <w:rPr>
          <w:rFonts w:ascii="Century Gothic" w:hAnsi="Century Gothic"/>
        </w:rPr>
        <w:t>)</w:t>
      </w:r>
    </w:p>
    <w:p w14:paraId="75B41D27" w14:textId="77777777" w:rsidR="000A76D8" w:rsidRPr="00242BDA" w:rsidRDefault="000A76D8" w:rsidP="000A76D8">
      <w:pPr>
        <w:pStyle w:val="ListParagraph"/>
        <w:numPr>
          <w:ilvl w:val="0"/>
          <w:numId w:val="3"/>
        </w:numPr>
        <w:tabs>
          <w:tab w:val="left" w:pos="14130"/>
        </w:tabs>
        <w:spacing w:line="360" w:lineRule="auto"/>
        <w:ind w:right="386"/>
        <w:rPr>
          <w:rFonts w:ascii="Century Gothic" w:eastAsia="SimSun" w:hAnsi="Century Gothic"/>
          <w:b/>
          <w:bCs/>
          <w:kern w:val="24"/>
        </w:rPr>
      </w:pPr>
      <w:r w:rsidRPr="00242BDA">
        <w:rPr>
          <w:rFonts w:ascii="Century Gothic" w:hAnsi="Century Gothic"/>
          <w:b/>
        </w:rPr>
        <w:t>Annexes</w:t>
      </w:r>
    </w:p>
    <w:p w14:paraId="19CF4E6B" w14:textId="4C6713EF"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A – Étude du pays du Carana </w:t>
      </w:r>
    </w:p>
    <w:p w14:paraId="41000C0E" w14:textId="6D56B754" w:rsidR="000A76D8" w:rsidRPr="00242BDA" w:rsidRDefault="007E02BC"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B - Rapport de l’enquête technique du Carana </w:t>
      </w:r>
    </w:p>
    <w:p w14:paraId="39DB3CDE" w14:textId="30C9DF40"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C - Accord de paix de Kalari </w:t>
      </w:r>
    </w:p>
    <w:p w14:paraId="2ABAEAF0" w14:textId="2AA5B8DD"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D - Directive d’évaluation et de planification du DOMP </w:t>
      </w:r>
    </w:p>
    <w:p w14:paraId="5FD3CE4E" w14:textId="69C5A6EA"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E - Déclaration du président du CSNU </w:t>
      </w:r>
    </w:p>
    <w:p w14:paraId="5B9E6D5C" w14:textId="1E7BD642"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F - RDE de la mission </w:t>
      </w:r>
    </w:p>
    <w:p w14:paraId="67D65942" w14:textId="263EACF8"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 xml:space="preserve">Annexe G - Matrice de planification de la mission </w:t>
      </w:r>
    </w:p>
    <w:p w14:paraId="252B15F7" w14:textId="5DA59C8A" w:rsidR="000A76D8" w:rsidRPr="00242BDA" w:rsidRDefault="000A76D8"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Annexe H - Cartes du CONOPS de la mission</w:t>
      </w:r>
    </w:p>
    <w:p w14:paraId="79EAA0DB" w14:textId="74CAC842" w:rsidR="00EC7157" w:rsidRPr="00242BDA" w:rsidRDefault="00EC7157" w:rsidP="000A76D8">
      <w:pPr>
        <w:pStyle w:val="ListParagraph"/>
        <w:numPr>
          <w:ilvl w:val="1"/>
          <w:numId w:val="3"/>
        </w:numPr>
        <w:tabs>
          <w:tab w:val="left" w:pos="14130"/>
        </w:tabs>
        <w:spacing w:line="360" w:lineRule="auto"/>
        <w:ind w:right="386"/>
        <w:rPr>
          <w:rFonts w:ascii="Century Gothic" w:eastAsia="SimSun" w:hAnsi="Century Gothic"/>
          <w:kern w:val="24"/>
        </w:rPr>
      </w:pPr>
      <w:r w:rsidRPr="00242BDA">
        <w:rPr>
          <w:rFonts w:ascii="Century Gothic" w:hAnsi="Century Gothic"/>
        </w:rPr>
        <w:t>Annexe I - Articles dédiés à l’actualité (contenu lié aux MDMD)</w:t>
      </w:r>
    </w:p>
    <w:p w14:paraId="00F6682C" w14:textId="77777777" w:rsidR="00343B68" w:rsidRPr="00242BDA" w:rsidRDefault="00343B68" w:rsidP="00343B6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rPr>
      </w:pPr>
      <w:r w:rsidRPr="00242BDA">
        <w:rPr>
          <w:rFonts w:ascii="Century Gothic" w:hAnsi="Century Gothic"/>
          <w:b/>
          <w:color w:val="000000" w:themeColor="text1"/>
        </w:rPr>
        <w:t>Documents d’appui</w:t>
      </w:r>
    </w:p>
    <w:p w14:paraId="0806FF62" w14:textId="77777777" w:rsidR="00343B68" w:rsidRPr="00242BDA" w:rsidRDefault="00AE25A8" w:rsidP="00343B68">
      <w:pPr>
        <w:pStyle w:val="ListParagraph"/>
        <w:numPr>
          <w:ilvl w:val="1"/>
          <w:numId w:val="3"/>
        </w:numPr>
        <w:tabs>
          <w:tab w:val="left" w:pos="14130"/>
        </w:tabs>
        <w:spacing w:line="360" w:lineRule="auto"/>
        <w:ind w:right="386"/>
        <w:rPr>
          <w:rFonts w:ascii="Century Gothic" w:eastAsia="SimSun" w:hAnsi="Century Gothic"/>
          <w:color w:val="000000" w:themeColor="text1"/>
          <w:kern w:val="24"/>
        </w:rPr>
      </w:pPr>
      <w:r w:rsidRPr="00242BDA">
        <w:rPr>
          <w:rFonts w:ascii="Century Gothic" w:hAnsi="Century Gothic"/>
          <w:color w:val="000000" w:themeColor="text1"/>
        </w:rPr>
        <w:t>Présentation pédagogique (présentation MS PowerPoint)</w:t>
      </w:r>
    </w:p>
    <w:p w14:paraId="0F800A34" w14:textId="77D7F6CB" w:rsidR="00343B68" w:rsidRPr="00242BDA" w:rsidRDefault="00343B68" w:rsidP="00343B68">
      <w:pPr>
        <w:pStyle w:val="ListParagraph"/>
        <w:numPr>
          <w:ilvl w:val="1"/>
          <w:numId w:val="3"/>
        </w:numPr>
        <w:tabs>
          <w:tab w:val="left" w:pos="14130"/>
        </w:tabs>
        <w:spacing w:line="360" w:lineRule="auto"/>
        <w:ind w:right="386"/>
        <w:rPr>
          <w:rFonts w:ascii="Century Gothic" w:eastAsia="SimSun" w:hAnsi="Century Gothic"/>
          <w:color w:val="000000" w:themeColor="text1"/>
          <w:kern w:val="24"/>
        </w:rPr>
      </w:pPr>
      <w:r w:rsidRPr="00242BDA">
        <w:rPr>
          <w:rFonts w:ascii="Century Gothic" w:hAnsi="Century Gothic"/>
          <w:color w:val="000000" w:themeColor="text1"/>
        </w:rPr>
        <w:t xml:space="preserve">Carte </w:t>
      </w:r>
      <w:r w:rsidR="00153073" w:rsidRPr="00242BDA">
        <w:rPr>
          <w:rFonts w:ascii="Century Gothic" w:hAnsi="Century Gothic"/>
          <w:color w:val="000000" w:themeColor="text1"/>
        </w:rPr>
        <w:t xml:space="preserve">de la </w:t>
      </w:r>
      <w:r w:rsidRPr="00242BDA">
        <w:rPr>
          <w:rFonts w:ascii="Century Gothic" w:hAnsi="Century Gothic"/>
          <w:color w:val="000000" w:themeColor="text1"/>
        </w:rPr>
        <w:t xml:space="preserve">ZDR du </w:t>
      </w:r>
      <w:r w:rsidR="00153073" w:rsidRPr="00242BDA">
        <w:rPr>
          <w:rFonts w:ascii="Century Gothic" w:hAnsi="Century Gothic"/>
          <w:color w:val="000000" w:themeColor="text1"/>
        </w:rPr>
        <w:t>bataillon</w:t>
      </w:r>
    </w:p>
    <w:p w14:paraId="3E142354" w14:textId="7AAE43DA" w:rsidR="000A76D8" w:rsidRPr="00242BDA" w:rsidRDefault="00343B68" w:rsidP="00AB4BC6">
      <w:pPr>
        <w:pStyle w:val="ListParagraph"/>
        <w:numPr>
          <w:ilvl w:val="1"/>
          <w:numId w:val="3"/>
        </w:numPr>
        <w:tabs>
          <w:tab w:val="left" w:pos="14130"/>
        </w:tabs>
        <w:spacing w:line="360" w:lineRule="auto"/>
        <w:ind w:right="386"/>
        <w:rPr>
          <w:rFonts w:ascii="Century Gothic" w:eastAsia="SimSun" w:hAnsi="Century Gothic"/>
          <w:color w:val="000000" w:themeColor="text1"/>
          <w:kern w:val="24"/>
        </w:rPr>
      </w:pPr>
      <w:r w:rsidRPr="00242BDA">
        <w:rPr>
          <w:rFonts w:ascii="Century Gothic" w:hAnsi="Century Gothic"/>
          <w:color w:val="000000" w:themeColor="text1"/>
        </w:rPr>
        <w:t xml:space="preserve">Matrices (analyse des menaces, analyse des risques, résumé des </w:t>
      </w:r>
      <w:r w:rsidR="00153073" w:rsidRPr="00242BDA">
        <w:rPr>
          <w:rFonts w:ascii="Century Gothic" w:hAnsi="Century Gothic"/>
          <w:color w:val="000000" w:themeColor="text1"/>
        </w:rPr>
        <w:t>plans d’action</w:t>
      </w:r>
      <w:r w:rsidRPr="00242BDA">
        <w:rPr>
          <w:rFonts w:ascii="Century Gothic" w:hAnsi="Century Gothic"/>
          <w:color w:val="000000" w:themeColor="text1"/>
        </w:rPr>
        <w:t xml:space="preserve"> envisagés) </w:t>
      </w:r>
    </w:p>
    <w:p w14:paraId="259C12B7" w14:textId="2BDA0BEC" w:rsidR="000A76D8" w:rsidRPr="00242BDA" w:rsidRDefault="008A4FB3" w:rsidP="000A76D8">
      <w:pPr>
        <w:tabs>
          <w:tab w:val="left" w:pos="14130"/>
        </w:tabs>
        <w:ind w:right="386"/>
        <w:rPr>
          <w:rFonts w:ascii="Century Gothic" w:eastAsia="SimSun" w:hAnsi="Century Gothic"/>
          <w:color w:val="000000" w:themeColor="text1"/>
          <w:kern w:val="24"/>
          <w:sz w:val="32"/>
          <w:szCs w:val="32"/>
        </w:rPr>
      </w:pPr>
      <w:r w:rsidRPr="00242BDA">
        <w:drawing>
          <wp:anchor distT="0" distB="0" distL="114300" distR="114300" simplePos="0" relativeHeight="251663360" behindDoc="1" locked="0" layoutInCell="1" allowOverlap="1" wp14:anchorId="4B3C0C15" wp14:editId="044B53CD">
            <wp:simplePos x="0" y="0"/>
            <wp:positionH relativeFrom="margin">
              <wp:align>center</wp:align>
            </wp:positionH>
            <wp:positionV relativeFrom="paragraph">
              <wp:posOffset>13359</wp:posOffset>
            </wp:positionV>
            <wp:extent cx="2726260" cy="1534886"/>
            <wp:effectExtent l="171450" t="152400" r="360045" b="37020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434" r="778"/>
                    <a:stretch/>
                  </pic:blipFill>
                  <pic:spPr bwMode="auto">
                    <a:xfrm>
                      <a:off x="0" y="0"/>
                      <a:ext cx="2726260" cy="1534886"/>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F86B352" w14:textId="7719979B" w:rsidR="000A76D8" w:rsidRPr="00242BDA" w:rsidRDefault="000A76D8" w:rsidP="000A76D8">
      <w:pPr>
        <w:tabs>
          <w:tab w:val="left" w:pos="14130"/>
        </w:tabs>
        <w:ind w:right="386"/>
        <w:rPr>
          <w:rFonts w:ascii="Century Gothic" w:eastAsia="SimSun" w:hAnsi="Century Gothic"/>
          <w:color w:val="000000" w:themeColor="text1"/>
          <w:kern w:val="24"/>
          <w:sz w:val="32"/>
          <w:szCs w:val="32"/>
        </w:rPr>
      </w:pPr>
    </w:p>
    <w:p w14:paraId="379635BC" w14:textId="77777777" w:rsidR="000A76D8" w:rsidRPr="00242BDA" w:rsidRDefault="000A76D8" w:rsidP="000A76D8">
      <w:pPr>
        <w:tabs>
          <w:tab w:val="left" w:pos="14130"/>
        </w:tabs>
        <w:ind w:right="386"/>
        <w:rPr>
          <w:rFonts w:ascii="Century Gothic" w:eastAsia="SimSun" w:hAnsi="Century Gothic"/>
          <w:color w:val="558ED5"/>
          <w:kern w:val="24"/>
          <w:sz w:val="40"/>
          <w:szCs w:val="100"/>
        </w:rPr>
      </w:pPr>
      <w:r w:rsidRPr="00242BDA">
        <w:rPr>
          <w:rFonts w:ascii="Century Gothic" w:hAnsi="Century Gothic"/>
          <w:color w:val="558ED5"/>
          <w:sz w:val="40"/>
        </w:rPr>
        <w:lastRenderedPageBreak/>
        <w:t>Orientations</w:t>
      </w:r>
    </w:p>
    <w:p w14:paraId="18983455" w14:textId="5BDAB5C6" w:rsidR="000A76D8" w:rsidRPr="00242BDA" w:rsidRDefault="000A76D8" w:rsidP="000A76D8">
      <w:pPr>
        <w:tabs>
          <w:tab w:val="left" w:pos="14130"/>
        </w:tabs>
        <w:ind w:right="386"/>
        <w:rPr>
          <w:rFonts w:ascii="Century Gothic" w:eastAsia="SimSun" w:hAnsi="Century Gothic"/>
          <w:b/>
          <w:bCs/>
          <w:kern w:val="24"/>
        </w:rPr>
      </w:pPr>
      <w:r w:rsidRPr="00242BDA">
        <w:rPr>
          <w:rFonts w:ascii="Century Gothic" w:hAnsi="Century Gothic"/>
          <w:b/>
        </w:rPr>
        <w:t xml:space="preserve">Les objectifs de cet exercice basé sur un scénario sont les suivants : </w:t>
      </w:r>
    </w:p>
    <w:p w14:paraId="7DE6D0D9" w14:textId="77777777" w:rsidR="003B77C5" w:rsidRPr="00242BDA" w:rsidRDefault="003B77C5" w:rsidP="003B77C5">
      <w:pPr>
        <w:pStyle w:val="ListParagraph"/>
        <w:numPr>
          <w:ilvl w:val="0"/>
          <w:numId w:val="4"/>
        </w:numPr>
        <w:tabs>
          <w:tab w:val="left" w:pos="14130"/>
        </w:tabs>
        <w:ind w:right="386"/>
        <w:rPr>
          <w:rFonts w:ascii="Century Gothic" w:eastAsia="SimSun" w:hAnsi="Century Gothic"/>
          <w:kern w:val="24"/>
        </w:rPr>
      </w:pPr>
      <w:r w:rsidRPr="00242BDA">
        <w:rPr>
          <w:rFonts w:ascii="Century Gothic" w:hAnsi="Century Gothic"/>
        </w:rPr>
        <w:t>Renforcer les connaissances acquises au cours de la mise en œuvre du module d’approfondissement des compétences sur les MDMD.</w:t>
      </w:r>
    </w:p>
    <w:p w14:paraId="3B58A610" w14:textId="77777777" w:rsidR="00F25907" w:rsidRPr="00242BDA" w:rsidRDefault="00F25907" w:rsidP="00F25907">
      <w:pPr>
        <w:pStyle w:val="ListParagraph"/>
        <w:tabs>
          <w:tab w:val="left" w:pos="14130"/>
        </w:tabs>
        <w:ind w:right="386"/>
        <w:rPr>
          <w:rFonts w:ascii="Century Gothic" w:eastAsia="SimSun" w:hAnsi="Century Gothic"/>
          <w:kern w:val="24"/>
        </w:rPr>
      </w:pPr>
    </w:p>
    <w:p w14:paraId="2BDA2624" w14:textId="1FAC983A" w:rsidR="003B77C5" w:rsidRPr="00242BDA" w:rsidRDefault="003B77C5" w:rsidP="003B77C5">
      <w:pPr>
        <w:pStyle w:val="ListParagraph"/>
        <w:numPr>
          <w:ilvl w:val="0"/>
          <w:numId w:val="4"/>
        </w:numPr>
        <w:tabs>
          <w:tab w:val="left" w:pos="14130"/>
        </w:tabs>
        <w:ind w:right="386"/>
        <w:rPr>
          <w:rFonts w:ascii="Century Gothic" w:eastAsia="SimSun" w:hAnsi="Century Gothic"/>
          <w:kern w:val="24"/>
        </w:rPr>
      </w:pPr>
      <w:r w:rsidRPr="00242BDA">
        <w:rPr>
          <w:rFonts w:ascii="Century Gothic" w:hAnsi="Century Gothic"/>
        </w:rPr>
        <w:t>Utiliser les connaissances acquises pour résoudre des problèmes basés sur des événements réels rencontrés dans les missions de maintien de la paix des Nations unies.</w:t>
      </w:r>
    </w:p>
    <w:p w14:paraId="175D5AEA" w14:textId="77777777" w:rsidR="00F25907" w:rsidRPr="00242BDA" w:rsidRDefault="00F25907" w:rsidP="00F25907">
      <w:pPr>
        <w:pStyle w:val="ListParagraph"/>
        <w:tabs>
          <w:tab w:val="left" w:pos="14130"/>
        </w:tabs>
        <w:ind w:right="386"/>
        <w:rPr>
          <w:rFonts w:ascii="Century Gothic" w:eastAsia="SimSun" w:hAnsi="Century Gothic"/>
          <w:kern w:val="24"/>
        </w:rPr>
      </w:pPr>
    </w:p>
    <w:p w14:paraId="37724DA8" w14:textId="52E7881B" w:rsidR="000A76D8" w:rsidRPr="00242BDA" w:rsidRDefault="003B77C5" w:rsidP="003B77C5">
      <w:pPr>
        <w:pStyle w:val="ListParagraph"/>
        <w:numPr>
          <w:ilvl w:val="0"/>
          <w:numId w:val="4"/>
        </w:numPr>
        <w:tabs>
          <w:tab w:val="left" w:pos="14130"/>
        </w:tabs>
        <w:ind w:right="386"/>
        <w:rPr>
          <w:rFonts w:ascii="Century Gothic" w:eastAsia="SimSun" w:hAnsi="Century Gothic"/>
          <w:kern w:val="24"/>
        </w:rPr>
      </w:pPr>
      <w:r w:rsidRPr="00242BDA">
        <w:rPr>
          <w:rFonts w:ascii="Century Gothic" w:hAnsi="Century Gothic"/>
        </w:rPr>
        <w:t>Intégrer les principes de planification tactique de lutte contre les MDMD dans les méthodes existantes de planification de la prise de décision au sein de l'unité.</w:t>
      </w:r>
    </w:p>
    <w:p w14:paraId="7768DECB" w14:textId="77777777" w:rsidR="003B77C5" w:rsidRPr="00242BDA" w:rsidRDefault="003B77C5" w:rsidP="000A76D8">
      <w:pPr>
        <w:tabs>
          <w:tab w:val="left" w:pos="14130"/>
        </w:tabs>
        <w:ind w:right="386"/>
        <w:rPr>
          <w:rFonts w:ascii="Century Gothic" w:eastAsia="SimSun" w:hAnsi="Century Gothic"/>
          <w:b/>
          <w:bCs/>
          <w:kern w:val="24"/>
        </w:rPr>
      </w:pPr>
    </w:p>
    <w:p w14:paraId="3719EAE4" w14:textId="67FD31B5" w:rsidR="000A76D8" w:rsidRPr="00242BDA" w:rsidRDefault="00A851FE" w:rsidP="000A76D8">
      <w:pPr>
        <w:tabs>
          <w:tab w:val="left" w:pos="14130"/>
        </w:tabs>
        <w:ind w:right="386"/>
        <w:rPr>
          <w:rFonts w:ascii="Century Gothic" w:eastAsia="SimSun" w:hAnsi="Century Gothic"/>
          <w:b/>
          <w:bCs/>
          <w:kern w:val="24"/>
        </w:rPr>
      </w:pPr>
      <w:r w:rsidRPr="00242BDA">
        <w:rPr>
          <w:rFonts w:ascii="Century Gothic" w:hAnsi="Century Gothic"/>
          <w:b/>
        </w:rPr>
        <w:t>Instructions générales (Comment mener un EBS ?)</w:t>
      </w:r>
    </w:p>
    <w:p w14:paraId="2EF789F7" w14:textId="194C189F" w:rsidR="003D6135"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Cet ESB peut être réalisé en tant qu’exercice autonome directement après la présentation des modules « </w:t>
      </w:r>
      <w:r w:rsidR="00D77A33" w:rsidRPr="00242BDA">
        <w:rPr>
          <w:rFonts w:ascii="Century Gothic" w:hAnsi="Century Gothic"/>
        </w:rPr>
        <w:t>Lutter contre les</w:t>
      </w:r>
      <w:r w:rsidRPr="00242BDA">
        <w:rPr>
          <w:rFonts w:ascii="Century Gothic" w:hAnsi="Century Gothic"/>
        </w:rPr>
        <w:t xml:space="preserve"> MDMD » ou être intégré dans un exercice plus vaste, tel qu’un exercice du QG de l’unité portant sur la protection des civils ou la protection de la force. L’EBS utilise le même scénario que celui utilisé dans le MFS du bataillon d’infanterie et le MAC sur la protection de la force.</w:t>
      </w:r>
    </w:p>
    <w:p w14:paraId="785503E4" w14:textId="1717BB70" w:rsidR="000A76D8" w:rsidRPr="00242BDA" w:rsidRDefault="00F14838" w:rsidP="000A76D8">
      <w:pPr>
        <w:tabs>
          <w:tab w:val="left" w:pos="14130"/>
        </w:tabs>
        <w:ind w:right="386"/>
        <w:jc w:val="both"/>
        <w:rPr>
          <w:rFonts w:ascii="Century Gothic" w:eastAsia="SimSun" w:hAnsi="Century Gothic"/>
          <w:color w:val="000000" w:themeColor="text1"/>
          <w:kern w:val="24"/>
        </w:rPr>
      </w:pPr>
      <w:r w:rsidRPr="00242BDA">
        <w:rPr>
          <w:rFonts w:ascii="Century Gothic" w:hAnsi="Century Gothic"/>
        </w:rPr>
        <w:t xml:space="preserve">L’exercice peut prendre la forme d’un exercice de poste de commandement (EPC) ou d’un exercice sur table (EST). Les </w:t>
      </w:r>
      <w:r w:rsidRPr="00242BDA">
        <w:rPr>
          <w:rFonts w:ascii="Century Gothic" w:hAnsi="Century Gothic"/>
          <w:color w:val="000000" w:themeColor="text1"/>
        </w:rPr>
        <w:t>instructions générales contenues dans le présent document suivent le format EST.</w:t>
      </w:r>
    </w:p>
    <w:p w14:paraId="76EABA41" w14:textId="77777777" w:rsidR="000A76D8" w:rsidRPr="00242BDA" w:rsidRDefault="000A76D8" w:rsidP="000A76D8">
      <w:pPr>
        <w:tabs>
          <w:tab w:val="left" w:pos="14130"/>
        </w:tabs>
        <w:ind w:right="386"/>
        <w:rPr>
          <w:rFonts w:ascii="Century Gothic" w:eastAsia="SimSun" w:hAnsi="Century Gothic"/>
          <w:b/>
          <w:bCs/>
          <w:color w:val="000000" w:themeColor="text1"/>
          <w:kern w:val="24"/>
        </w:rPr>
      </w:pPr>
      <w:r w:rsidRPr="00242BDA">
        <w:rPr>
          <w:rFonts w:ascii="Century Gothic" w:hAnsi="Century Gothic"/>
          <w:b/>
          <w:color w:val="000000" w:themeColor="text1"/>
        </w:rPr>
        <w:t>Groupes de travail</w:t>
      </w:r>
    </w:p>
    <w:p w14:paraId="3F57B67D" w14:textId="71AFD24D" w:rsidR="000A76D8" w:rsidRPr="00242BDA" w:rsidRDefault="000A76D8" w:rsidP="00FB730E">
      <w:pPr>
        <w:tabs>
          <w:tab w:val="left" w:pos="14130"/>
        </w:tabs>
        <w:ind w:right="386"/>
        <w:jc w:val="both"/>
        <w:rPr>
          <w:rFonts w:ascii="Century Gothic" w:eastAsia="SimSun" w:hAnsi="Century Gothic"/>
          <w:kern w:val="24"/>
        </w:rPr>
      </w:pPr>
      <w:r w:rsidRPr="00242BDA">
        <w:rPr>
          <w:rFonts w:ascii="Century Gothic" w:hAnsi="Century Gothic"/>
        </w:rPr>
        <w:t>Le public doit être divisé en groupes de 5 à 10 participants. L’un des participants doit être nommé commandant de l’unité. Les autres membres du groupe assument les autres fonctions générales ou spécialisées du personnel en fonction des besoins.</w:t>
      </w:r>
    </w:p>
    <w:p w14:paraId="2300A3BE" w14:textId="77777777"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Un exemple de répartition des rôles est inclus dans la présentation pédagogique de l’EBS.</w:t>
      </w:r>
    </w:p>
    <w:p w14:paraId="2787EAC2" w14:textId="77777777" w:rsidR="000A76D8" w:rsidRPr="00242BDA" w:rsidRDefault="000A76D8" w:rsidP="000A76D8">
      <w:pPr>
        <w:tabs>
          <w:tab w:val="left" w:pos="14130"/>
        </w:tabs>
        <w:ind w:right="386"/>
        <w:rPr>
          <w:rFonts w:ascii="Century Gothic" w:eastAsia="SimSun" w:hAnsi="Century Gothic"/>
          <w:b/>
          <w:bCs/>
          <w:color w:val="000000" w:themeColor="text1"/>
          <w:kern w:val="24"/>
        </w:rPr>
      </w:pPr>
      <w:r w:rsidRPr="00242BDA">
        <w:rPr>
          <w:rFonts w:ascii="Century Gothic" w:hAnsi="Century Gothic"/>
          <w:b/>
          <w:color w:val="000000" w:themeColor="text1"/>
        </w:rPr>
        <w:t>Contrôle de l’exercice</w:t>
      </w:r>
    </w:p>
    <w:p w14:paraId="2445E1E1" w14:textId="77777777" w:rsidR="000A76D8" w:rsidRPr="00242BDA" w:rsidRDefault="000A76D8" w:rsidP="000A76D8">
      <w:pPr>
        <w:tabs>
          <w:tab w:val="left" w:pos="14130"/>
        </w:tabs>
        <w:ind w:right="386"/>
        <w:jc w:val="both"/>
        <w:rPr>
          <w:rFonts w:ascii="Century Gothic" w:eastAsia="SimSun" w:hAnsi="Century Gothic"/>
          <w:color w:val="000000" w:themeColor="text1"/>
          <w:kern w:val="24"/>
        </w:rPr>
      </w:pPr>
      <w:r w:rsidRPr="00242BDA">
        <w:rPr>
          <w:rFonts w:ascii="Century Gothic" w:hAnsi="Century Gothic"/>
          <w:color w:val="000000" w:themeColor="text1"/>
        </w:rPr>
        <w:t xml:space="preserve">Le groupe de contrôle de l’exercice (EXCON), normalement composé d’instructeurs, doit être organisé de manière à ce que les postes situés au-dessus et au-dessous du public suivant la formation (CONTRÔLE HAUT et CONTRÔLE BAS) soient disponibles pour échanger des informations au cours de l’exercice. </w:t>
      </w:r>
    </w:p>
    <w:p w14:paraId="27F74091" w14:textId="50B4E326" w:rsidR="000A76D8" w:rsidRPr="00242BDA" w:rsidRDefault="000A76D8" w:rsidP="000A76D8">
      <w:pPr>
        <w:tabs>
          <w:tab w:val="left" w:pos="14130"/>
        </w:tabs>
        <w:ind w:right="386"/>
        <w:jc w:val="both"/>
        <w:rPr>
          <w:rFonts w:ascii="Century Gothic" w:eastAsia="SimSun" w:hAnsi="Century Gothic"/>
          <w:color w:val="000000" w:themeColor="text1"/>
          <w:kern w:val="24"/>
        </w:rPr>
      </w:pPr>
      <w:r w:rsidRPr="00242BDA">
        <w:rPr>
          <w:rFonts w:ascii="Century Gothic" w:hAnsi="Century Gothic"/>
          <w:color w:val="000000" w:themeColor="text1"/>
        </w:rPr>
        <w:t xml:space="preserve">Par exemple, le groupe d’instructeurs prendra lui-même le rôle du commandant de secteur, du CEM de la mission, des postes civils (par exemple, le RSSG, le DAM, le chef des affaires politiques, le conseiller à la protection de l’enfance, le chef du </w:t>
      </w:r>
      <w:r w:rsidRPr="00242BDA">
        <w:rPr>
          <w:rFonts w:ascii="Century Gothic" w:hAnsi="Century Gothic"/>
          <w:color w:val="000000" w:themeColor="text1"/>
        </w:rPr>
        <w:lastRenderedPageBreak/>
        <w:t xml:space="preserve">CICR, les communautés locales, le chef du groupe de femmes locales, etc.), des groupes armés et des assistants de liaison communautaires (ALC). </w:t>
      </w:r>
    </w:p>
    <w:p w14:paraId="5374CD9F" w14:textId="4FE477CD" w:rsidR="000A76D8" w:rsidRPr="00242BDA" w:rsidRDefault="000A76D8" w:rsidP="000A76D8">
      <w:pPr>
        <w:tabs>
          <w:tab w:val="left" w:pos="14130"/>
        </w:tabs>
        <w:ind w:right="386"/>
        <w:jc w:val="both"/>
        <w:rPr>
          <w:rFonts w:ascii="Century Gothic" w:eastAsia="SimSun" w:hAnsi="Century Gothic"/>
          <w:color w:val="000000" w:themeColor="text1"/>
          <w:kern w:val="24"/>
        </w:rPr>
      </w:pPr>
      <w:r w:rsidRPr="00242BDA">
        <w:rPr>
          <w:rFonts w:ascii="Century Gothic" w:hAnsi="Century Gothic"/>
          <w:color w:val="000000" w:themeColor="text1"/>
        </w:rPr>
        <w:t>L’EXCON doit être disponible pour fournir des informations ad hoc sur le scénario au cours de l’exercice.</w:t>
      </w:r>
    </w:p>
    <w:p w14:paraId="43012986" w14:textId="77777777" w:rsidR="000A76D8" w:rsidRPr="00242BDA" w:rsidRDefault="000A76D8" w:rsidP="000A76D8">
      <w:pPr>
        <w:tabs>
          <w:tab w:val="left" w:pos="14130"/>
        </w:tabs>
        <w:ind w:right="386"/>
        <w:rPr>
          <w:rFonts w:ascii="Century Gothic" w:eastAsia="SimSun" w:hAnsi="Century Gothic"/>
          <w:b/>
          <w:bCs/>
          <w:color w:val="000000" w:themeColor="text1"/>
          <w:kern w:val="24"/>
        </w:rPr>
      </w:pPr>
      <w:r w:rsidRPr="00242BDA">
        <w:rPr>
          <w:rFonts w:ascii="Century Gothic" w:hAnsi="Century Gothic"/>
          <w:b/>
          <w:color w:val="000000" w:themeColor="text1"/>
        </w:rPr>
        <w:t>Réalisation de l’EBS</w:t>
      </w:r>
    </w:p>
    <w:p w14:paraId="1EA2CE93" w14:textId="77777777" w:rsidR="000A76D8" w:rsidRPr="00242BDA" w:rsidRDefault="000A76D8" w:rsidP="000A76D8">
      <w:pPr>
        <w:tabs>
          <w:tab w:val="left" w:pos="14130"/>
        </w:tabs>
        <w:ind w:right="386"/>
        <w:jc w:val="both"/>
        <w:rPr>
          <w:rFonts w:ascii="Century Gothic" w:eastAsia="SimSun" w:hAnsi="Century Gothic"/>
          <w:kern w:val="24"/>
          <w:u w:val="single"/>
        </w:rPr>
      </w:pPr>
      <w:r w:rsidRPr="00242BDA">
        <w:rPr>
          <w:rFonts w:ascii="Century Gothic" w:hAnsi="Century Gothic"/>
          <w:color w:val="000000" w:themeColor="text1"/>
          <w:u w:val="single"/>
        </w:rPr>
        <w:t>Préparation</w:t>
      </w:r>
    </w:p>
    <w:p w14:paraId="66DBAF86" w14:textId="77777777"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Informer/préparer le groupe d’instructeurs sur leur rôle dans les cellules EXCON/Réponse ;</w:t>
      </w:r>
    </w:p>
    <w:p w14:paraId="14E98485" w14:textId="77777777" w:rsidR="000A76D8" w:rsidRPr="00242BDA" w:rsidRDefault="000A76D8" w:rsidP="000A76D8">
      <w:pPr>
        <w:pStyle w:val="ListParagraph"/>
        <w:tabs>
          <w:tab w:val="left" w:pos="14130"/>
        </w:tabs>
        <w:ind w:right="386"/>
        <w:jc w:val="both"/>
        <w:rPr>
          <w:rFonts w:ascii="Century Gothic" w:eastAsia="SimSun" w:hAnsi="Century Gothic"/>
          <w:kern w:val="24"/>
          <w:sz w:val="22"/>
          <w:szCs w:val="22"/>
        </w:rPr>
      </w:pPr>
    </w:p>
    <w:p w14:paraId="5D8D97D0" w14:textId="0AD4DD93"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Répartir le public en groupes et attribuer les rôles requis comme suggéré dans la section Groupes de travail ci-dessus ;</w:t>
      </w:r>
    </w:p>
    <w:p w14:paraId="1C05FAEE" w14:textId="77777777" w:rsidR="000A76D8" w:rsidRPr="00242BDA" w:rsidRDefault="000A76D8" w:rsidP="000A76D8">
      <w:pPr>
        <w:pStyle w:val="ListParagraph"/>
        <w:rPr>
          <w:rFonts w:ascii="Century Gothic" w:eastAsia="SimSun" w:hAnsi="Century Gothic"/>
          <w:kern w:val="24"/>
          <w:sz w:val="22"/>
          <w:szCs w:val="22"/>
        </w:rPr>
      </w:pPr>
    </w:p>
    <w:p w14:paraId="2C78334F" w14:textId="7D9CEF77"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 xml:space="preserve">Imprimer et diffuser un exemplaire des documents suivants par unité : </w:t>
      </w:r>
    </w:p>
    <w:p w14:paraId="1A55360B" w14:textId="77777777" w:rsidR="000A76D8" w:rsidRPr="00242BDA" w:rsidRDefault="000A76D8" w:rsidP="000A76D8">
      <w:pPr>
        <w:pStyle w:val="ListParagraph"/>
        <w:rPr>
          <w:rFonts w:ascii="Century Gothic" w:eastAsia="SimSun" w:hAnsi="Century Gothic"/>
          <w:kern w:val="24"/>
          <w:sz w:val="22"/>
          <w:szCs w:val="22"/>
        </w:rPr>
      </w:pPr>
    </w:p>
    <w:p w14:paraId="5206FD64" w14:textId="76372B3A"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Carte de situation</w:t>
      </w:r>
    </w:p>
    <w:p w14:paraId="7133C469"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 xml:space="preserve">Matrice d’analyse des menaces </w:t>
      </w:r>
    </w:p>
    <w:p w14:paraId="6A02DD3D"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Matrice d’analyse des risques</w:t>
      </w:r>
    </w:p>
    <w:p w14:paraId="0AEE58FC"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Résumé de la matrice des PdA prévus.</w:t>
      </w:r>
    </w:p>
    <w:p w14:paraId="74D87DA1" w14:textId="77777777" w:rsidR="000A76D8" w:rsidRPr="00242BDA" w:rsidRDefault="000A76D8" w:rsidP="000A76D8">
      <w:pPr>
        <w:pStyle w:val="ListParagraph"/>
        <w:tabs>
          <w:tab w:val="left" w:pos="14130"/>
        </w:tabs>
        <w:ind w:left="1440" w:right="386"/>
        <w:jc w:val="both"/>
        <w:rPr>
          <w:rFonts w:ascii="Century Gothic" w:eastAsia="SimSun" w:hAnsi="Century Gothic"/>
          <w:kern w:val="24"/>
          <w:sz w:val="22"/>
          <w:szCs w:val="22"/>
        </w:rPr>
      </w:pPr>
    </w:p>
    <w:p w14:paraId="305891A2" w14:textId="77777777" w:rsidR="000A76D8" w:rsidRPr="00242BDA" w:rsidRDefault="000A76D8" w:rsidP="000A76D8">
      <w:pPr>
        <w:pStyle w:val="ListParagraph"/>
        <w:tabs>
          <w:tab w:val="left" w:pos="14130"/>
        </w:tabs>
        <w:ind w:left="1440" w:right="386"/>
        <w:jc w:val="both"/>
        <w:rPr>
          <w:rFonts w:ascii="Century Gothic" w:eastAsia="SimSun" w:hAnsi="Century Gothic"/>
          <w:i/>
          <w:iCs/>
          <w:kern w:val="24"/>
          <w:sz w:val="22"/>
          <w:szCs w:val="22"/>
        </w:rPr>
      </w:pPr>
      <w:r w:rsidRPr="00242BDA">
        <w:rPr>
          <w:rFonts w:ascii="Century Gothic" w:hAnsi="Century Gothic"/>
          <w:i/>
          <w:sz w:val="22"/>
        </w:rPr>
        <w:t xml:space="preserve">Remarque : Les copies numériques à haute résolution de ces documents peuvent être téléchargées à partir du centre de ressources. Les trois matrices sont plus faciles à utiliser lorsqu’elles sont imprimées sur du papier de format 61 x 91,5 cm ou sur du papier de taille comparable. La carte est généralement de taille similaire.   </w:t>
      </w:r>
    </w:p>
    <w:p w14:paraId="50D7CF57" w14:textId="77777777" w:rsidR="000A76D8" w:rsidRPr="00242BDA" w:rsidRDefault="000A76D8" w:rsidP="000A76D8">
      <w:pPr>
        <w:pStyle w:val="ListParagraph"/>
        <w:rPr>
          <w:rFonts w:ascii="Century Gothic" w:eastAsia="SimSun" w:hAnsi="Century Gothic"/>
          <w:kern w:val="24"/>
          <w:sz w:val="22"/>
          <w:szCs w:val="22"/>
        </w:rPr>
      </w:pPr>
    </w:p>
    <w:p w14:paraId="023A0E22" w14:textId="6443C51E"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Prévoir des salles de réunion séparées, des tableaux de conférence, des marqueurs, des notes autocollantes, etc. pour chaque unité</w:t>
      </w:r>
      <w:r w:rsidR="001C22B4" w:rsidRPr="00242BDA">
        <w:rPr>
          <w:rFonts w:ascii="Century Gothic" w:hAnsi="Century Gothic"/>
          <w:sz w:val="22"/>
        </w:rPr>
        <w:t> ;</w:t>
      </w:r>
    </w:p>
    <w:p w14:paraId="083CD372" w14:textId="77777777" w:rsidR="000A76D8" w:rsidRPr="00242BDA" w:rsidRDefault="000A76D8" w:rsidP="000A76D8">
      <w:pPr>
        <w:tabs>
          <w:tab w:val="left" w:pos="14130"/>
        </w:tabs>
        <w:ind w:right="386"/>
        <w:jc w:val="both"/>
        <w:rPr>
          <w:rFonts w:ascii="Century Gothic" w:eastAsia="SimSun" w:hAnsi="Century Gothic"/>
          <w:b/>
          <w:bCs/>
          <w:kern w:val="24"/>
        </w:rPr>
      </w:pPr>
    </w:p>
    <w:p w14:paraId="20886C86" w14:textId="77777777" w:rsidR="000A76D8" w:rsidRPr="00242BDA" w:rsidRDefault="000A76D8" w:rsidP="000A76D8">
      <w:pPr>
        <w:tabs>
          <w:tab w:val="left" w:pos="14130"/>
        </w:tabs>
        <w:ind w:right="386"/>
        <w:jc w:val="both"/>
        <w:rPr>
          <w:rFonts w:ascii="Century Gothic" w:eastAsia="SimSun" w:hAnsi="Century Gothic"/>
          <w:kern w:val="24"/>
          <w:u w:val="single"/>
        </w:rPr>
      </w:pPr>
      <w:r w:rsidRPr="00242BDA">
        <w:rPr>
          <w:rFonts w:ascii="Century Gothic" w:hAnsi="Century Gothic"/>
          <w:u w:val="single"/>
        </w:rPr>
        <w:t>Présentation de la situation</w:t>
      </w:r>
    </w:p>
    <w:p w14:paraId="2CB80C51" w14:textId="77777777"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Présenter la situation au public à l’aide de la présentation MS PowerPoint incluse dans le centre de ressources ;</w:t>
      </w:r>
    </w:p>
    <w:p w14:paraId="2BBD3A22" w14:textId="77777777" w:rsidR="000A76D8" w:rsidRPr="00242BDA" w:rsidRDefault="000A76D8" w:rsidP="000A76D8">
      <w:pPr>
        <w:pStyle w:val="ListParagraph"/>
        <w:tabs>
          <w:tab w:val="left" w:pos="14130"/>
        </w:tabs>
        <w:ind w:right="386"/>
        <w:jc w:val="both"/>
        <w:rPr>
          <w:rFonts w:ascii="Century Gothic" w:eastAsia="SimSun" w:hAnsi="Century Gothic"/>
          <w:kern w:val="24"/>
          <w:sz w:val="22"/>
          <w:szCs w:val="22"/>
        </w:rPr>
      </w:pPr>
    </w:p>
    <w:p w14:paraId="156BFD1D" w14:textId="675BAFC9"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 xml:space="preserve">S’assurer que l’ordre </w:t>
      </w:r>
      <w:r w:rsidR="00153073" w:rsidRPr="00242BDA">
        <w:rPr>
          <w:rFonts w:ascii="Century Gothic" w:hAnsi="Century Gothic"/>
          <w:sz w:val="22"/>
        </w:rPr>
        <w:t>pr</w:t>
      </w:r>
      <w:r w:rsidR="001C22B4" w:rsidRPr="00242BDA">
        <w:rPr>
          <w:rFonts w:ascii="Century Gothic" w:hAnsi="Century Gothic"/>
          <w:sz w:val="22"/>
        </w:rPr>
        <w:t>é</w:t>
      </w:r>
      <w:r w:rsidR="00153073" w:rsidRPr="00242BDA">
        <w:rPr>
          <w:rFonts w:ascii="Century Gothic" w:hAnsi="Century Gothic"/>
          <w:sz w:val="22"/>
        </w:rPr>
        <w:t>p</w:t>
      </w:r>
      <w:r w:rsidR="001C22B4" w:rsidRPr="00242BDA">
        <w:rPr>
          <w:rFonts w:ascii="Century Gothic" w:hAnsi="Century Gothic"/>
          <w:sz w:val="22"/>
        </w:rPr>
        <w:t>a</w:t>
      </w:r>
      <w:r w:rsidR="00153073" w:rsidRPr="00242BDA">
        <w:rPr>
          <w:rFonts w:ascii="Century Gothic" w:hAnsi="Century Gothic"/>
          <w:sz w:val="22"/>
        </w:rPr>
        <w:t>ratoire</w:t>
      </w:r>
      <w:r w:rsidRPr="00242BDA">
        <w:rPr>
          <w:rFonts w:ascii="Century Gothic" w:hAnsi="Century Gothic"/>
          <w:sz w:val="22"/>
        </w:rPr>
        <w:t xml:space="preserve"> (WARNO) est compris par les participants</w:t>
      </w:r>
      <w:r w:rsidR="00D77A33" w:rsidRPr="00242BDA">
        <w:rPr>
          <w:rFonts w:ascii="Century Gothic" w:hAnsi="Century Gothic"/>
          <w:sz w:val="22"/>
        </w:rPr>
        <w:t xml:space="preserve"> </w:t>
      </w:r>
      <w:r w:rsidRPr="00242BDA">
        <w:rPr>
          <w:rFonts w:ascii="Century Gothic" w:hAnsi="Century Gothic"/>
          <w:sz w:val="22"/>
          <w:u w:val="single"/>
        </w:rPr>
        <w:t>(remarque</w:t>
      </w:r>
      <w:r w:rsidRPr="00242BDA">
        <w:rPr>
          <w:rFonts w:ascii="Century Gothic" w:hAnsi="Century Gothic"/>
          <w:sz w:val="22"/>
        </w:rPr>
        <w:t> : il existe des notes supplémentaires sur l’environnement d’information incluses dans le WARNO pour faciliter les résultats du programme de lutte contre les MDMD) ;</w:t>
      </w:r>
    </w:p>
    <w:p w14:paraId="6AD9F9B1" w14:textId="77777777" w:rsidR="000A76D8" w:rsidRPr="00242BDA" w:rsidRDefault="000A76D8" w:rsidP="000A76D8">
      <w:pPr>
        <w:pStyle w:val="ListParagraph"/>
        <w:jc w:val="both"/>
        <w:rPr>
          <w:rFonts w:ascii="Century Gothic" w:eastAsia="SimSun" w:hAnsi="Century Gothic"/>
          <w:kern w:val="24"/>
          <w:sz w:val="22"/>
          <w:szCs w:val="22"/>
        </w:rPr>
      </w:pPr>
    </w:p>
    <w:p w14:paraId="474CEDAE" w14:textId="11CA0577" w:rsidR="000A76D8" w:rsidRPr="00242BDA" w:rsidRDefault="000A76D8" w:rsidP="000A76D8">
      <w:pPr>
        <w:pStyle w:val="ListParagraph"/>
        <w:numPr>
          <w:ilvl w:val="0"/>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 xml:space="preserve">Fixer une heure et un lieu pour que les unités reviennent en séance plénière afin de présenter au QG de secteur/régional (jeu de rôle par le groupe d’instructeurs/CONTRÔLE HAUT) les éléments suivants : </w:t>
      </w:r>
    </w:p>
    <w:p w14:paraId="6D46FD81" w14:textId="77777777" w:rsidR="000A76D8" w:rsidRPr="00242BDA" w:rsidRDefault="000A76D8" w:rsidP="000A76D8">
      <w:pPr>
        <w:pStyle w:val="ListParagraph"/>
        <w:jc w:val="both"/>
        <w:rPr>
          <w:rFonts w:ascii="Century Gothic" w:eastAsia="SimSun" w:hAnsi="Century Gothic"/>
          <w:color w:val="000000" w:themeColor="text1"/>
          <w:kern w:val="24"/>
          <w:sz w:val="22"/>
          <w:szCs w:val="22"/>
        </w:rPr>
      </w:pPr>
    </w:p>
    <w:p w14:paraId="57784123"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sz w:val="22"/>
          <w:szCs w:val="22"/>
        </w:rPr>
      </w:pPr>
      <w:r w:rsidRPr="00242BDA">
        <w:rPr>
          <w:rFonts w:ascii="Century Gothic" w:hAnsi="Century Gothic"/>
          <w:color w:val="000000" w:themeColor="text1"/>
          <w:sz w:val="22"/>
        </w:rPr>
        <w:t xml:space="preserve">Résumé de la situation, </w:t>
      </w:r>
    </w:p>
    <w:p w14:paraId="3B67BE8C"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color w:val="000000" w:themeColor="text1"/>
          <w:sz w:val="22"/>
        </w:rPr>
        <w:t xml:space="preserve">Analyse des menaces, </w:t>
      </w:r>
    </w:p>
    <w:p w14:paraId="1605CABE" w14:textId="77777777"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t xml:space="preserve">Analyse des risques et </w:t>
      </w:r>
    </w:p>
    <w:p w14:paraId="773F923E" w14:textId="6F42D1A9" w:rsidR="000A76D8" w:rsidRPr="00242BDA" w:rsidRDefault="000A76D8" w:rsidP="000A76D8">
      <w:pPr>
        <w:pStyle w:val="ListParagraph"/>
        <w:numPr>
          <w:ilvl w:val="1"/>
          <w:numId w:val="2"/>
        </w:numPr>
        <w:tabs>
          <w:tab w:val="left" w:pos="14130"/>
        </w:tabs>
        <w:ind w:right="386"/>
        <w:jc w:val="both"/>
        <w:rPr>
          <w:rFonts w:ascii="Century Gothic" w:eastAsia="SimSun" w:hAnsi="Century Gothic"/>
          <w:kern w:val="24"/>
          <w:sz w:val="22"/>
          <w:szCs w:val="22"/>
        </w:rPr>
      </w:pPr>
      <w:r w:rsidRPr="00242BDA">
        <w:rPr>
          <w:rFonts w:ascii="Century Gothic" w:hAnsi="Century Gothic"/>
          <w:sz w:val="22"/>
        </w:rPr>
        <w:lastRenderedPageBreak/>
        <w:t xml:space="preserve">Résumé des plans d’action (PdA) prévus dans les quatre phases de la réponse </w:t>
      </w:r>
      <w:r w:rsidRPr="00242BDA">
        <w:rPr>
          <w:rFonts w:ascii="Century Gothic" w:hAnsi="Century Gothic"/>
          <w:sz w:val="22"/>
          <w:u w:val="single"/>
        </w:rPr>
        <w:t>(remarque</w:t>
      </w:r>
      <w:r w:rsidRPr="00242BDA">
        <w:rPr>
          <w:rFonts w:ascii="Century Gothic" w:hAnsi="Century Gothic"/>
          <w:sz w:val="22"/>
        </w:rPr>
        <w:t xml:space="preserve"> : seules trois phases seront utilisées pour un EST MDMD autonome). </w:t>
      </w:r>
    </w:p>
    <w:p w14:paraId="5CDA4FB4" w14:textId="77777777" w:rsidR="000A76D8" w:rsidRPr="00242BDA" w:rsidRDefault="000A76D8" w:rsidP="000A76D8">
      <w:pPr>
        <w:tabs>
          <w:tab w:val="left" w:pos="14130"/>
        </w:tabs>
        <w:ind w:left="720" w:right="386"/>
        <w:jc w:val="both"/>
        <w:rPr>
          <w:rFonts w:ascii="Century Gothic" w:eastAsia="SimSun" w:hAnsi="Century Gothic"/>
          <w:i/>
          <w:iCs/>
          <w:kern w:val="24"/>
        </w:rPr>
      </w:pPr>
      <w:r w:rsidRPr="00242BDA">
        <w:rPr>
          <w:rFonts w:ascii="Century Gothic" w:hAnsi="Century Gothic"/>
        </w:rPr>
        <w:tab/>
      </w:r>
      <w:r w:rsidRPr="00242BDA">
        <w:rPr>
          <w:rFonts w:ascii="Century Gothic" w:hAnsi="Century Gothic"/>
          <w:i/>
        </w:rPr>
        <w:t xml:space="preserve"> </w:t>
      </w:r>
    </w:p>
    <w:p w14:paraId="3E309DE8" w14:textId="152191CD" w:rsidR="000A76D8" w:rsidRPr="00242BDA" w:rsidRDefault="000A76D8" w:rsidP="000A76D8">
      <w:pPr>
        <w:tabs>
          <w:tab w:val="left" w:pos="2788"/>
        </w:tabs>
        <w:ind w:right="386"/>
        <w:jc w:val="both"/>
        <w:rPr>
          <w:rFonts w:ascii="Century Gothic" w:eastAsia="SimSun" w:hAnsi="Century Gothic"/>
          <w:kern w:val="24"/>
        </w:rPr>
      </w:pPr>
      <w:r w:rsidRPr="00242BDA">
        <w:rPr>
          <w:rFonts w:ascii="Century Gothic" w:hAnsi="Century Gothic"/>
        </w:rPr>
        <w:t xml:space="preserve">D’un point de vue pratique, les facilitateurs peuvent envisager d’organiser deux réunions d’information intermédiaires pour s’assurer que les groupes sont sur la bonne voie. </w:t>
      </w:r>
    </w:p>
    <w:p w14:paraId="68F735A5" w14:textId="77777777" w:rsidR="00377391" w:rsidRPr="00242BDA" w:rsidRDefault="00377391" w:rsidP="00377391">
      <w:pPr>
        <w:tabs>
          <w:tab w:val="left" w:pos="14130"/>
        </w:tabs>
        <w:ind w:right="386"/>
        <w:jc w:val="both"/>
        <w:rPr>
          <w:rFonts w:ascii="Century Gothic" w:eastAsia="SimSun" w:hAnsi="Century Gothic"/>
          <w:kern w:val="24"/>
          <w:u w:val="single"/>
        </w:rPr>
      </w:pPr>
      <w:r w:rsidRPr="00242BDA">
        <w:rPr>
          <w:rFonts w:ascii="Century Gothic" w:hAnsi="Century Gothic"/>
          <w:u w:val="single"/>
        </w:rPr>
        <w:t>Briefings intermédiaires (menés par les participants)</w:t>
      </w:r>
    </w:p>
    <w:p w14:paraId="6ED1F2D3" w14:textId="45362CA9" w:rsidR="000A76D8" w:rsidRPr="00242BDA" w:rsidRDefault="000A76D8" w:rsidP="000A76D8">
      <w:pPr>
        <w:tabs>
          <w:tab w:val="left" w:pos="2788"/>
        </w:tabs>
        <w:ind w:right="386"/>
        <w:jc w:val="both"/>
        <w:rPr>
          <w:rFonts w:ascii="Century Gothic" w:eastAsia="SimSun" w:hAnsi="Century Gothic"/>
          <w:kern w:val="24"/>
        </w:rPr>
      </w:pPr>
      <w:r w:rsidRPr="00242BDA">
        <w:rPr>
          <w:rFonts w:ascii="Century Gothic" w:hAnsi="Century Gothic"/>
        </w:rPr>
        <w:t xml:space="preserve">Dans la pratique, il est recommandé que chaque unité présente aux animateurs un compte rendu expliquant sa compréhension de la situation peu après la présentation de l’ESB, en particulier en ce qui concerne l’environnement informationnel </w:t>
      </w:r>
      <w:r w:rsidRPr="00242BDA">
        <w:rPr>
          <w:rFonts w:ascii="Century Gothic" w:hAnsi="Century Gothic"/>
          <w:u w:val="single"/>
        </w:rPr>
        <w:t>(remarque</w:t>
      </w:r>
      <w:r w:rsidR="001C22B4" w:rsidRPr="00242BDA">
        <w:rPr>
          <w:rFonts w:ascii="Century Gothic" w:hAnsi="Century Gothic"/>
        </w:rPr>
        <w:t> :</w:t>
      </w:r>
      <w:r w:rsidRPr="00242BDA">
        <w:rPr>
          <w:rFonts w:ascii="Century Gothic" w:hAnsi="Century Gothic"/>
        </w:rPr>
        <w:t xml:space="preserve"> l’environnement informationnel ne sera qu’un élément du compte rendu si l’exercice est incorporé dans un EST complet du QG de l’unité). Un minimum de 45 minutes doit être accordé à chaque unité pour discuter en groupe de son niveau de compréhension de la situation. Pendant ce temps, ils identifieront les besoins </w:t>
      </w:r>
      <w:r w:rsidR="00D77A33" w:rsidRPr="00242BDA">
        <w:rPr>
          <w:rFonts w:ascii="Century Gothic" w:hAnsi="Century Gothic"/>
        </w:rPr>
        <w:t>prioritaires en renseignement</w:t>
      </w:r>
      <w:r w:rsidRPr="00242BDA">
        <w:rPr>
          <w:rFonts w:ascii="Century Gothic" w:hAnsi="Century Gothic"/>
        </w:rPr>
        <w:t xml:space="preserve"> (</w:t>
      </w:r>
      <w:r w:rsidR="00D77A33" w:rsidRPr="00242BDA">
        <w:rPr>
          <w:rFonts w:ascii="Century Gothic" w:hAnsi="Century Gothic"/>
        </w:rPr>
        <w:t>BPR</w:t>
      </w:r>
      <w:r w:rsidRPr="00242BDA">
        <w:rPr>
          <w:rFonts w:ascii="Century Gothic" w:hAnsi="Century Gothic"/>
        </w:rPr>
        <w:t xml:space="preserve">) à soulever après leur briefing. L’EXCON peut décider de fournir ces informations à ce moment-là. </w:t>
      </w:r>
    </w:p>
    <w:p w14:paraId="075D7A79" w14:textId="7C2A3118"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 xml:space="preserve">Deuxièmement, il est recommandé de présenter un résumé de l’analyse des menaces pour chaque unité. L’unité doit disposer d’un minimum de deux heures pour analyser un certain nombre de menaces dans sa zone de responsabilité (ZDR) causées par les MDMD. Au cours de cette présentation, le groupe doit expliquer les raisons pour lesquelles ces menaces ont été mises en évidence. </w:t>
      </w:r>
      <w:r w:rsidRPr="00242BDA">
        <w:rPr>
          <w:rFonts w:ascii="Century Gothic" w:hAnsi="Century Gothic"/>
          <w:i/>
        </w:rPr>
        <w:t xml:space="preserve">Remarque : les unités doivent énumérer les différentes menaces sans les classer par ordre de priorité. L’établissement des priorités se fera au cours de l’analyse des risques. </w:t>
      </w:r>
    </w:p>
    <w:p w14:paraId="28302423" w14:textId="1FEEB304"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 xml:space="preserve">Enfin, les présentations finales doivent être effectuées au moins 3 heures après leur résumé de l’analyse des menaces. Ce briefing doit comprendre l’ensemble de l’analyse de la mission de l’unité, à savoir le résumé de la situation, l’analyse des menaces, l’analyse des risques et un résumé des PdA </w:t>
      </w:r>
      <w:r w:rsidR="00153073" w:rsidRPr="00242BDA">
        <w:rPr>
          <w:rFonts w:ascii="Century Gothic" w:hAnsi="Century Gothic"/>
        </w:rPr>
        <w:t>envisagés</w:t>
      </w:r>
      <w:r w:rsidRPr="00242BDA">
        <w:rPr>
          <w:rFonts w:ascii="Century Gothic" w:hAnsi="Century Gothic"/>
        </w:rPr>
        <w:t>.</w:t>
      </w:r>
    </w:p>
    <w:p w14:paraId="59E724AF" w14:textId="77777777"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Un exemple de calendrier de ces notes d’information est inclus dans la présentation MS PowerPoint.</w:t>
      </w:r>
    </w:p>
    <w:p w14:paraId="614BEFD8" w14:textId="77777777" w:rsidR="000A76D8" w:rsidRPr="00242BDA" w:rsidRDefault="000A76D8" w:rsidP="000A76D8">
      <w:pPr>
        <w:tabs>
          <w:tab w:val="left" w:pos="14130"/>
        </w:tabs>
        <w:ind w:right="386"/>
        <w:rPr>
          <w:rFonts w:ascii="Century Gothic" w:eastAsia="SimSun" w:hAnsi="Century Gothic"/>
          <w:b/>
          <w:bCs/>
          <w:kern w:val="24"/>
        </w:rPr>
      </w:pPr>
      <w:r w:rsidRPr="00242BDA">
        <w:rPr>
          <w:rFonts w:ascii="Century Gothic" w:hAnsi="Century Gothic"/>
          <w:b/>
        </w:rPr>
        <w:t>Commentaires généraux sur la conduite de l’EBS</w:t>
      </w:r>
    </w:p>
    <w:p w14:paraId="393D2515" w14:textId="123248FE" w:rsidR="00DE3C6A"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 xml:space="preserve">Il est fortement recommandé de ne pas discuter en détail ou de ne pas juger la conclusion de l’analyse ou les décisions tactiques des PdA de l’unité. Tant que le raisonnement est expliqué et que le processus est suivi, les instructeurs peuvent poursuivre avec les solutions. </w:t>
      </w:r>
    </w:p>
    <w:p w14:paraId="79C47AE1" w14:textId="77777777" w:rsidR="000A76D8" w:rsidRPr="00242BDA" w:rsidRDefault="00DE3C6A" w:rsidP="000A76D8">
      <w:pPr>
        <w:tabs>
          <w:tab w:val="left" w:pos="14130"/>
        </w:tabs>
        <w:ind w:right="386"/>
        <w:jc w:val="both"/>
        <w:rPr>
          <w:rFonts w:ascii="Century Gothic" w:eastAsia="SimSun" w:hAnsi="Century Gothic"/>
          <w:kern w:val="24"/>
        </w:rPr>
      </w:pPr>
      <w:r w:rsidRPr="00242BDA">
        <w:rPr>
          <w:rFonts w:ascii="Century Gothic" w:hAnsi="Century Gothic"/>
        </w:rPr>
        <w:t xml:space="preserve">Des discussions entre les groupes peuvent avoir lieu et sont encouragées. Les instructeurs doivent garder à l’esprit qu’il n’existe pas de plan précis pour résoudre </w:t>
      </w:r>
      <w:r w:rsidRPr="00242BDA">
        <w:rPr>
          <w:rFonts w:ascii="Century Gothic" w:hAnsi="Century Gothic"/>
        </w:rPr>
        <w:lastRenderedPageBreak/>
        <w:t xml:space="preserve">la situation tactique présentée. En outre, les participants auront différents niveaux d’analyse en fonction de leur expérience et de leur expertise. </w:t>
      </w:r>
    </w:p>
    <w:p w14:paraId="01AB0B4B" w14:textId="689D85CC"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 xml:space="preserve">L’objectif est que les groupes appliquent ce qu’ils ont appris dans les modules sur les MDMD à leur processus de prise de décision actuel. Cette formation ne vise pas à modifier la doctrine nationale du processus de prise de décision des participants, mais plutôt à l’enrichir de considérations tactiques pour entreprendre des actions visant à contrer les menaces induites par les MDMD. </w:t>
      </w:r>
    </w:p>
    <w:p w14:paraId="19DCF1F9" w14:textId="0B99A4DB"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Cet EBS et les modules sur les MDMD ont pour élément central une approche basée sur l</w:t>
      </w:r>
      <w:r w:rsidR="00D77A33" w:rsidRPr="00242BDA">
        <w:rPr>
          <w:rFonts w:ascii="Century Gothic" w:hAnsi="Century Gothic"/>
        </w:rPr>
        <w:t>es</w:t>
      </w:r>
      <w:r w:rsidRPr="00242BDA">
        <w:rPr>
          <w:rFonts w:ascii="Century Gothic" w:hAnsi="Century Gothic"/>
        </w:rPr>
        <w:t xml:space="preserve"> menace</w:t>
      </w:r>
      <w:r w:rsidR="00D77A33" w:rsidRPr="00242BDA">
        <w:rPr>
          <w:rFonts w:ascii="Century Gothic" w:hAnsi="Century Gothic"/>
        </w:rPr>
        <w:t>s</w:t>
      </w:r>
      <w:r w:rsidRPr="00242BDA">
        <w:rPr>
          <w:rFonts w:ascii="Century Gothic" w:hAnsi="Century Gothic"/>
        </w:rPr>
        <w:t xml:space="preserve">. Par conséquent, l’accent devrait être mis sur l’identification des différentes « menaces induites par les MDMD », la hiérarchisation de ces menaces en fonction des risques perçus pour les opérations militaires ou policières ou la protection de la force, et enfin la manière dont le public prendrait des mesures proactives ou réactives dans le cadre des trois phases de la réponse (prévention, préemption et </w:t>
      </w:r>
      <w:r w:rsidR="00242BDA" w:rsidRPr="00242BDA">
        <w:rPr>
          <w:rFonts w:ascii="Century Gothic" w:hAnsi="Century Gothic"/>
        </w:rPr>
        <w:t>intervention</w:t>
      </w:r>
      <w:r w:rsidRPr="00242BDA">
        <w:rPr>
          <w:rFonts w:ascii="Century Gothic" w:hAnsi="Century Gothic"/>
        </w:rPr>
        <w:t>).</w:t>
      </w:r>
    </w:p>
    <w:p w14:paraId="258FD9DA" w14:textId="59D181CC" w:rsidR="000A76D8" w:rsidRPr="00242BDA" w:rsidRDefault="000A76D8" w:rsidP="000A76D8">
      <w:pPr>
        <w:tabs>
          <w:tab w:val="left" w:pos="14130"/>
        </w:tabs>
        <w:ind w:right="386"/>
        <w:rPr>
          <w:rFonts w:ascii="Century Gothic" w:eastAsia="SimSun" w:hAnsi="Century Gothic"/>
          <w:b/>
          <w:bCs/>
          <w:kern w:val="24"/>
        </w:rPr>
      </w:pPr>
      <w:r w:rsidRPr="00242BDA">
        <w:rPr>
          <w:rFonts w:ascii="Century Gothic" w:hAnsi="Century Gothic"/>
          <w:b/>
        </w:rPr>
        <w:t>Considérations</w:t>
      </w:r>
      <w:r w:rsidR="00D77A33" w:rsidRPr="00242BDA">
        <w:rPr>
          <w:rFonts w:ascii="Century Gothic" w:hAnsi="Century Gothic"/>
          <w:b/>
        </w:rPr>
        <w:t xml:space="preserve"> </w:t>
      </w:r>
      <w:r w:rsidRPr="00242BDA">
        <w:rPr>
          <w:rFonts w:ascii="Century Gothic" w:hAnsi="Century Gothic"/>
          <w:b/>
          <w:color w:val="000000" w:themeColor="text1"/>
        </w:rPr>
        <w:t xml:space="preserve">générales </w:t>
      </w:r>
      <w:r w:rsidRPr="00242BDA">
        <w:rPr>
          <w:rFonts w:ascii="Century Gothic" w:hAnsi="Century Gothic"/>
          <w:b/>
        </w:rPr>
        <w:t>relatives au scénario</w:t>
      </w:r>
    </w:p>
    <w:p w14:paraId="1AA55099" w14:textId="4D21198D"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Les informations contenues dans les documents de base de l’exercice (par exemple, la résolution 1544 du Conseil de sécurité des Nations unies, le CONOPS, l’étude sur le pays du Carana, l’environnement d’information du Carana, les articles sur l’actualité du Carana, etc.) visent à fournir des détails complémentaires à la situation présentée lors</w:t>
      </w:r>
      <w:r w:rsidR="00253A48" w:rsidRPr="00242BDA">
        <w:rPr>
          <w:rFonts w:ascii="Century Gothic" w:hAnsi="Century Gothic"/>
        </w:rPr>
        <w:t xml:space="preserve"> de</w:t>
      </w:r>
      <w:r w:rsidRPr="00242BDA">
        <w:rPr>
          <w:rFonts w:ascii="Century Gothic" w:hAnsi="Century Gothic"/>
        </w:rPr>
        <w:t xml:space="preserve"> l’EBS. Les participants ont tout intérêt à lire ces documents car ils sont omniprésents dans la mission. </w:t>
      </w:r>
    </w:p>
    <w:p w14:paraId="5311AD3C" w14:textId="77777777" w:rsidR="000A76D8" w:rsidRPr="00242BDA" w:rsidRDefault="000A76D8" w:rsidP="000A76D8">
      <w:pPr>
        <w:tabs>
          <w:tab w:val="left" w:pos="14130"/>
        </w:tabs>
        <w:ind w:right="386"/>
        <w:jc w:val="both"/>
        <w:rPr>
          <w:rFonts w:ascii="Century Gothic" w:eastAsia="SimSun" w:hAnsi="Century Gothic"/>
          <w:kern w:val="24"/>
        </w:rPr>
      </w:pPr>
      <w:r w:rsidRPr="00242BDA">
        <w:rPr>
          <w:rFonts w:ascii="Century Gothic" w:hAnsi="Century Gothic"/>
        </w:rPr>
        <w:t>Les formateurs peuvent décider d’adapter les informations contenues dans les documents et d’ajuster la « situation actuelle » présentée.</w:t>
      </w:r>
    </w:p>
    <w:p w14:paraId="682FC4B7" w14:textId="6CCE4CA8" w:rsidR="00013389" w:rsidRPr="00242BDA" w:rsidRDefault="000A76D8" w:rsidP="00E0327E">
      <w:pPr>
        <w:tabs>
          <w:tab w:val="left" w:pos="14130"/>
        </w:tabs>
        <w:ind w:right="386"/>
        <w:jc w:val="both"/>
        <w:rPr>
          <w:rFonts w:ascii="Century Gothic" w:eastAsia="SimSun" w:hAnsi="Century Gothic"/>
          <w:kern w:val="24"/>
        </w:rPr>
      </w:pPr>
      <w:r w:rsidRPr="00242BDA">
        <w:rPr>
          <w:rFonts w:ascii="Century Gothic" w:hAnsi="Century Gothic"/>
        </w:rPr>
        <w:t>La situation présentée dans la section suivante est un cas possible parmi d’autres. Bien que cette configuration se soit révélée très efficace pour enseigner le sujet, les instructeurs peuvent modifier la disposition des acteurs clés dans une ZDR donnée pour s’adapter aux capacités d’apprentissage du public ainsi qu’aux éventuelles contraintes de temps.</w:t>
      </w:r>
    </w:p>
    <w:sectPr w:rsidR="00013389" w:rsidRPr="00242BDA" w:rsidSect="00BF4FF7">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4A6158"/>
    <w:multiLevelType w:val="hybridMultilevel"/>
    <w:tmpl w:val="78DADD1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16A299E"/>
    <w:multiLevelType w:val="hybridMultilevel"/>
    <w:tmpl w:val="A1387B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3291FE4"/>
    <w:multiLevelType w:val="hybridMultilevel"/>
    <w:tmpl w:val="63761E2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9397097"/>
    <w:multiLevelType w:val="hybridMultilevel"/>
    <w:tmpl w:val="30F8253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76D8"/>
    <w:rsid w:val="00013389"/>
    <w:rsid w:val="00020A89"/>
    <w:rsid w:val="000364EC"/>
    <w:rsid w:val="00036E43"/>
    <w:rsid w:val="00044CEB"/>
    <w:rsid w:val="00047AE7"/>
    <w:rsid w:val="00050F24"/>
    <w:rsid w:val="0007779B"/>
    <w:rsid w:val="0008183F"/>
    <w:rsid w:val="00082D70"/>
    <w:rsid w:val="00085D00"/>
    <w:rsid w:val="000900DF"/>
    <w:rsid w:val="000A6AB2"/>
    <w:rsid w:val="000A76D8"/>
    <w:rsid w:val="000D3F3C"/>
    <w:rsid w:val="000E100A"/>
    <w:rsid w:val="00102C0B"/>
    <w:rsid w:val="00112D29"/>
    <w:rsid w:val="00123CA0"/>
    <w:rsid w:val="001252E2"/>
    <w:rsid w:val="001273C5"/>
    <w:rsid w:val="001321A6"/>
    <w:rsid w:val="001361B8"/>
    <w:rsid w:val="00141881"/>
    <w:rsid w:val="001444F9"/>
    <w:rsid w:val="00153073"/>
    <w:rsid w:val="00182DD6"/>
    <w:rsid w:val="00194D68"/>
    <w:rsid w:val="001B072A"/>
    <w:rsid w:val="001B2E7D"/>
    <w:rsid w:val="001B3A16"/>
    <w:rsid w:val="001B5A8D"/>
    <w:rsid w:val="001C22B4"/>
    <w:rsid w:val="001D002E"/>
    <w:rsid w:val="001D02C8"/>
    <w:rsid w:val="001D5599"/>
    <w:rsid w:val="001E6E59"/>
    <w:rsid w:val="001F77BB"/>
    <w:rsid w:val="002019FE"/>
    <w:rsid w:val="00213C12"/>
    <w:rsid w:val="0021418A"/>
    <w:rsid w:val="0021774C"/>
    <w:rsid w:val="00222995"/>
    <w:rsid w:val="0023727A"/>
    <w:rsid w:val="00242BDA"/>
    <w:rsid w:val="00242EB3"/>
    <w:rsid w:val="002433DC"/>
    <w:rsid w:val="00253A48"/>
    <w:rsid w:val="0026126F"/>
    <w:rsid w:val="00263616"/>
    <w:rsid w:val="00266310"/>
    <w:rsid w:val="00270AAD"/>
    <w:rsid w:val="00273F1A"/>
    <w:rsid w:val="0029446D"/>
    <w:rsid w:val="002B030D"/>
    <w:rsid w:val="002B51A4"/>
    <w:rsid w:val="002C5E66"/>
    <w:rsid w:val="002C674C"/>
    <w:rsid w:val="002E44BA"/>
    <w:rsid w:val="002F0D07"/>
    <w:rsid w:val="002F604A"/>
    <w:rsid w:val="0031119E"/>
    <w:rsid w:val="00315D1E"/>
    <w:rsid w:val="00323C13"/>
    <w:rsid w:val="0032487C"/>
    <w:rsid w:val="00340239"/>
    <w:rsid w:val="00343B68"/>
    <w:rsid w:val="0034475B"/>
    <w:rsid w:val="00344EB5"/>
    <w:rsid w:val="0034650E"/>
    <w:rsid w:val="00362583"/>
    <w:rsid w:val="003637F8"/>
    <w:rsid w:val="00363C2D"/>
    <w:rsid w:val="0037065A"/>
    <w:rsid w:val="00373948"/>
    <w:rsid w:val="00375194"/>
    <w:rsid w:val="0037585F"/>
    <w:rsid w:val="003762CD"/>
    <w:rsid w:val="00376DBE"/>
    <w:rsid w:val="00377391"/>
    <w:rsid w:val="00382798"/>
    <w:rsid w:val="00383FFA"/>
    <w:rsid w:val="003850BB"/>
    <w:rsid w:val="00393086"/>
    <w:rsid w:val="003957FA"/>
    <w:rsid w:val="003963CF"/>
    <w:rsid w:val="003A02E6"/>
    <w:rsid w:val="003A3A4A"/>
    <w:rsid w:val="003B1203"/>
    <w:rsid w:val="003B4681"/>
    <w:rsid w:val="003B77C5"/>
    <w:rsid w:val="003C1D9E"/>
    <w:rsid w:val="003C1DC8"/>
    <w:rsid w:val="003C761C"/>
    <w:rsid w:val="003D5821"/>
    <w:rsid w:val="003D6135"/>
    <w:rsid w:val="003E1F56"/>
    <w:rsid w:val="004011EC"/>
    <w:rsid w:val="0041246B"/>
    <w:rsid w:val="00421018"/>
    <w:rsid w:val="004450DC"/>
    <w:rsid w:val="0045178E"/>
    <w:rsid w:val="004524F3"/>
    <w:rsid w:val="00453043"/>
    <w:rsid w:val="00456213"/>
    <w:rsid w:val="00462B0B"/>
    <w:rsid w:val="00467457"/>
    <w:rsid w:val="0048640C"/>
    <w:rsid w:val="004B5126"/>
    <w:rsid w:val="004B6B27"/>
    <w:rsid w:val="004B7A54"/>
    <w:rsid w:val="004C38A0"/>
    <w:rsid w:val="004C53A7"/>
    <w:rsid w:val="004E1EDA"/>
    <w:rsid w:val="004F1E42"/>
    <w:rsid w:val="004F4179"/>
    <w:rsid w:val="0050672D"/>
    <w:rsid w:val="0051124B"/>
    <w:rsid w:val="005229E8"/>
    <w:rsid w:val="00536A5A"/>
    <w:rsid w:val="00542109"/>
    <w:rsid w:val="0055344C"/>
    <w:rsid w:val="00555CF4"/>
    <w:rsid w:val="00576C0A"/>
    <w:rsid w:val="00584636"/>
    <w:rsid w:val="00587297"/>
    <w:rsid w:val="00590966"/>
    <w:rsid w:val="005A0F15"/>
    <w:rsid w:val="005A747A"/>
    <w:rsid w:val="005A7F75"/>
    <w:rsid w:val="005C0507"/>
    <w:rsid w:val="005C7F07"/>
    <w:rsid w:val="005E198C"/>
    <w:rsid w:val="005E551B"/>
    <w:rsid w:val="005E6338"/>
    <w:rsid w:val="005F3E02"/>
    <w:rsid w:val="005F3E93"/>
    <w:rsid w:val="006072C3"/>
    <w:rsid w:val="00610BDA"/>
    <w:rsid w:val="00611A86"/>
    <w:rsid w:val="0061706C"/>
    <w:rsid w:val="00641B55"/>
    <w:rsid w:val="00662601"/>
    <w:rsid w:val="00667F5A"/>
    <w:rsid w:val="00670A19"/>
    <w:rsid w:val="00675460"/>
    <w:rsid w:val="00677009"/>
    <w:rsid w:val="00680658"/>
    <w:rsid w:val="006809C0"/>
    <w:rsid w:val="006A6732"/>
    <w:rsid w:val="006B7AC5"/>
    <w:rsid w:val="006C324F"/>
    <w:rsid w:val="006E01C8"/>
    <w:rsid w:val="006E3A2E"/>
    <w:rsid w:val="006F1D3F"/>
    <w:rsid w:val="00707076"/>
    <w:rsid w:val="0071305E"/>
    <w:rsid w:val="007142F3"/>
    <w:rsid w:val="007216CB"/>
    <w:rsid w:val="007330B4"/>
    <w:rsid w:val="007366F7"/>
    <w:rsid w:val="00751B53"/>
    <w:rsid w:val="00752358"/>
    <w:rsid w:val="00772229"/>
    <w:rsid w:val="00774D73"/>
    <w:rsid w:val="00776556"/>
    <w:rsid w:val="00786CB4"/>
    <w:rsid w:val="00787A21"/>
    <w:rsid w:val="00792AFA"/>
    <w:rsid w:val="007A3E19"/>
    <w:rsid w:val="007E02BC"/>
    <w:rsid w:val="007E6690"/>
    <w:rsid w:val="007F5D51"/>
    <w:rsid w:val="007F65D3"/>
    <w:rsid w:val="008021DB"/>
    <w:rsid w:val="00814C96"/>
    <w:rsid w:val="00815082"/>
    <w:rsid w:val="00822D90"/>
    <w:rsid w:val="008278D3"/>
    <w:rsid w:val="008371A6"/>
    <w:rsid w:val="00846875"/>
    <w:rsid w:val="00847C26"/>
    <w:rsid w:val="00854DE1"/>
    <w:rsid w:val="00857DDF"/>
    <w:rsid w:val="008610A1"/>
    <w:rsid w:val="0086323F"/>
    <w:rsid w:val="0086639A"/>
    <w:rsid w:val="00876DC4"/>
    <w:rsid w:val="0087738F"/>
    <w:rsid w:val="00886245"/>
    <w:rsid w:val="0088650A"/>
    <w:rsid w:val="008875B3"/>
    <w:rsid w:val="00891237"/>
    <w:rsid w:val="00894A92"/>
    <w:rsid w:val="00896C7A"/>
    <w:rsid w:val="008A4FB3"/>
    <w:rsid w:val="008A5442"/>
    <w:rsid w:val="008A74A3"/>
    <w:rsid w:val="008B03CB"/>
    <w:rsid w:val="008B4095"/>
    <w:rsid w:val="008B4835"/>
    <w:rsid w:val="008B567C"/>
    <w:rsid w:val="008D3AA7"/>
    <w:rsid w:val="008F1599"/>
    <w:rsid w:val="00905516"/>
    <w:rsid w:val="00907461"/>
    <w:rsid w:val="00952AF3"/>
    <w:rsid w:val="009624AE"/>
    <w:rsid w:val="009674A8"/>
    <w:rsid w:val="00972856"/>
    <w:rsid w:val="0098436F"/>
    <w:rsid w:val="009A5E07"/>
    <w:rsid w:val="009C5E1B"/>
    <w:rsid w:val="009C6E16"/>
    <w:rsid w:val="009D0ACC"/>
    <w:rsid w:val="009D11D7"/>
    <w:rsid w:val="009D1D5D"/>
    <w:rsid w:val="009D5187"/>
    <w:rsid w:val="009D5278"/>
    <w:rsid w:val="009E2CF5"/>
    <w:rsid w:val="009F274E"/>
    <w:rsid w:val="00A03382"/>
    <w:rsid w:val="00A161E0"/>
    <w:rsid w:val="00A24F03"/>
    <w:rsid w:val="00A25194"/>
    <w:rsid w:val="00A30BC5"/>
    <w:rsid w:val="00A33801"/>
    <w:rsid w:val="00A431DD"/>
    <w:rsid w:val="00A50ECC"/>
    <w:rsid w:val="00A53FAD"/>
    <w:rsid w:val="00A851FE"/>
    <w:rsid w:val="00A8547B"/>
    <w:rsid w:val="00A9293C"/>
    <w:rsid w:val="00A95450"/>
    <w:rsid w:val="00AB4BC6"/>
    <w:rsid w:val="00AC78C3"/>
    <w:rsid w:val="00AD1AA3"/>
    <w:rsid w:val="00AD1C25"/>
    <w:rsid w:val="00AD279E"/>
    <w:rsid w:val="00AD4DEF"/>
    <w:rsid w:val="00AD7EF7"/>
    <w:rsid w:val="00AE25A8"/>
    <w:rsid w:val="00AE35C0"/>
    <w:rsid w:val="00AE4A7D"/>
    <w:rsid w:val="00AE5630"/>
    <w:rsid w:val="00AF4D21"/>
    <w:rsid w:val="00B0494D"/>
    <w:rsid w:val="00B23C0E"/>
    <w:rsid w:val="00B37C9D"/>
    <w:rsid w:val="00B404FA"/>
    <w:rsid w:val="00B704A7"/>
    <w:rsid w:val="00B75E12"/>
    <w:rsid w:val="00B977B5"/>
    <w:rsid w:val="00BA1121"/>
    <w:rsid w:val="00BB3784"/>
    <w:rsid w:val="00BC571B"/>
    <w:rsid w:val="00BC6AA2"/>
    <w:rsid w:val="00BE2411"/>
    <w:rsid w:val="00BF4D00"/>
    <w:rsid w:val="00BF4FF7"/>
    <w:rsid w:val="00C00C5B"/>
    <w:rsid w:val="00C12DEB"/>
    <w:rsid w:val="00C202D1"/>
    <w:rsid w:val="00C206B8"/>
    <w:rsid w:val="00C32667"/>
    <w:rsid w:val="00C37589"/>
    <w:rsid w:val="00C5290A"/>
    <w:rsid w:val="00C53C47"/>
    <w:rsid w:val="00C663E0"/>
    <w:rsid w:val="00C758F9"/>
    <w:rsid w:val="00C9202F"/>
    <w:rsid w:val="00CA0BB4"/>
    <w:rsid w:val="00CA1B5A"/>
    <w:rsid w:val="00CA22E3"/>
    <w:rsid w:val="00CA4D7C"/>
    <w:rsid w:val="00CB2357"/>
    <w:rsid w:val="00CB71E8"/>
    <w:rsid w:val="00CD04F6"/>
    <w:rsid w:val="00CE04C3"/>
    <w:rsid w:val="00CE49B3"/>
    <w:rsid w:val="00CF7DD0"/>
    <w:rsid w:val="00D1277E"/>
    <w:rsid w:val="00D20935"/>
    <w:rsid w:val="00D2598A"/>
    <w:rsid w:val="00D339C3"/>
    <w:rsid w:val="00D52B7F"/>
    <w:rsid w:val="00D61061"/>
    <w:rsid w:val="00D64088"/>
    <w:rsid w:val="00D77A33"/>
    <w:rsid w:val="00D77CAD"/>
    <w:rsid w:val="00D8666B"/>
    <w:rsid w:val="00DA3585"/>
    <w:rsid w:val="00DA620C"/>
    <w:rsid w:val="00DB47C4"/>
    <w:rsid w:val="00DD4447"/>
    <w:rsid w:val="00DE1AE6"/>
    <w:rsid w:val="00DE3C6A"/>
    <w:rsid w:val="00DE56F3"/>
    <w:rsid w:val="00DE674B"/>
    <w:rsid w:val="00DE6867"/>
    <w:rsid w:val="00DF5DD7"/>
    <w:rsid w:val="00E018D8"/>
    <w:rsid w:val="00E01F50"/>
    <w:rsid w:val="00E0327E"/>
    <w:rsid w:val="00E1697B"/>
    <w:rsid w:val="00E237F1"/>
    <w:rsid w:val="00E36B3A"/>
    <w:rsid w:val="00E4065B"/>
    <w:rsid w:val="00E426FF"/>
    <w:rsid w:val="00E46B47"/>
    <w:rsid w:val="00E55945"/>
    <w:rsid w:val="00E66B8F"/>
    <w:rsid w:val="00E67B36"/>
    <w:rsid w:val="00E71BDF"/>
    <w:rsid w:val="00E828B2"/>
    <w:rsid w:val="00EA1425"/>
    <w:rsid w:val="00EA4781"/>
    <w:rsid w:val="00EB60F4"/>
    <w:rsid w:val="00EC7157"/>
    <w:rsid w:val="00ED042A"/>
    <w:rsid w:val="00ED1851"/>
    <w:rsid w:val="00EF0252"/>
    <w:rsid w:val="00EF29CF"/>
    <w:rsid w:val="00EF384A"/>
    <w:rsid w:val="00F02BD4"/>
    <w:rsid w:val="00F115A7"/>
    <w:rsid w:val="00F14838"/>
    <w:rsid w:val="00F157D7"/>
    <w:rsid w:val="00F24A29"/>
    <w:rsid w:val="00F25907"/>
    <w:rsid w:val="00F44F61"/>
    <w:rsid w:val="00F53083"/>
    <w:rsid w:val="00F61640"/>
    <w:rsid w:val="00F65403"/>
    <w:rsid w:val="00F807CF"/>
    <w:rsid w:val="00F834FA"/>
    <w:rsid w:val="00F840C7"/>
    <w:rsid w:val="00F90A16"/>
    <w:rsid w:val="00F94F72"/>
    <w:rsid w:val="00F96DA5"/>
    <w:rsid w:val="00F97740"/>
    <w:rsid w:val="00FA42B9"/>
    <w:rsid w:val="00FB730E"/>
    <w:rsid w:val="00FC0E5B"/>
    <w:rsid w:val="00FC2FD0"/>
    <w:rsid w:val="00FD55C2"/>
    <w:rsid w:val="00FD5ADB"/>
    <w:rsid w:val="00FD6435"/>
    <w:rsid w:val="00FD79D7"/>
    <w:rsid w:val="00FF01A7"/>
    <w:rsid w:val="00FF5CC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71AE3C"/>
  <w15:chartTrackingRefBased/>
  <w15:docId w15:val="{241937F8-3390-4C2B-B4F0-84B67D7DE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imes New Roman" w:cs="Times New Roman"/>
        <w:sz w:val="22"/>
        <w:szCs w:val="22"/>
        <w:lang w:val="fr-FR"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76D8"/>
    <w:pPr>
      <w:spacing w:after="200" w:line="276" w:lineRule="auto"/>
    </w:pPr>
    <w:rPr>
      <w:rFonts w:eastAsiaTheme="minorHAnsi" w:hAnsiTheme="minorHAnsi" w:cstheme="minorBidi"/>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76D8"/>
    <w:pPr>
      <w:spacing w:after="0" w:line="240" w:lineRule="auto"/>
      <w:ind w:left="720"/>
      <w:contextualSpacing/>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0" Type="http://schemas.microsoft.com/office/2007/relationships/hdphoto" Target="media/hdphoto1.wdp"/><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52591365DD56D4D8750E674CD62EF32" ma:contentTypeVersion="22" ma:contentTypeDescription="Create a new document." ma:contentTypeScope="" ma:versionID="ec27a2a93bb6a254e48540e5054f4e50">
  <xsd:schema xmlns:xsd="http://www.w3.org/2001/XMLSchema" xmlns:xs="http://www.w3.org/2001/XMLSchema" xmlns:p="http://schemas.microsoft.com/office/2006/metadata/properties" xmlns:ns2="ffaef953-2cda-4d9d-b070-85228d2d3b5f" xmlns:ns3="756f3f7a-cc20-4157-bc78-ddc9769d8db6" xmlns:ns4="985ec44e-1bab-4c0b-9df0-6ba128686fc9" targetNamespace="http://schemas.microsoft.com/office/2006/metadata/properties" ma:root="true" ma:fieldsID="70f94bd43e4a92ff9f0423f892b53530" ns2:_="" ns3:_="" ns4:_="">
    <xsd:import namespace="ffaef953-2cda-4d9d-b070-85228d2d3b5f"/>
    <xsd:import namespace="756f3f7a-cc20-4157-bc78-ddc9769d8db6"/>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23_"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_Flow_SignoffStatus"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aef953-2cda-4d9d-b070-85228d2d3b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23_" ma:index="12" nillable="true" ma:displayName="#" ma:format="Dropdown" ma:internalName="_x0023_" ma:percentage="FALSE">
      <xsd:simpleType>
        <xsd:restriction base="dms:Number"/>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56f3f7a-cc20-4157-bc78-ddc9769d8db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48d4a9f-cfb2-42af-b391-1b84484739eb}" ma:internalName="TaxCatchAll" ma:showField="CatchAllData" ma:web="756f3f7a-cc20-4157-bc78-ddc9769d8d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x0023_ xmlns="ffaef953-2cda-4d9d-b070-85228d2d3b5f" xsi:nil="true"/>
    <_Flow_SignoffStatus xmlns="ffaef953-2cda-4d9d-b070-85228d2d3b5f" xsi:nil="true"/>
    <lcf76f155ced4ddcb4097134ff3c332f xmlns="ffaef953-2cda-4d9d-b070-85228d2d3b5f">
      <Terms xmlns="http://schemas.microsoft.com/office/infopath/2007/PartnerControls"/>
    </lcf76f155ced4ddcb4097134ff3c332f>
    <TaxCatchAll xmlns="985ec44e-1bab-4c0b-9df0-6ba128686fc9" xsi:nil="true"/>
  </documentManagement>
</p:properties>
</file>

<file path=customXml/itemProps1.xml><?xml version="1.0" encoding="utf-8"?>
<ds:datastoreItem xmlns:ds="http://schemas.openxmlformats.org/officeDocument/2006/customXml" ds:itemID="{AC00B58F-2521-4457-BFF5-7D05BC43E2D2}">
  <ds:schemaRefs>
    <ds:schemaRef ds:uri="http://schemas.openxmlformats.org/officeDocument/2006/bibliography"/>
  </ds:schemaRefs>
</ds:datastoreItem>
</file>

<file path=customXml/itemProps2.xml><?xml version="1.0" encoding="utf-8"?>
<ds:datastoreItem xmlns:ds="http://schemas.openxmlformats.org/officeDocument/2006/customXml" ds:itemID="{984CA5D7-EB60-4679-8260-128B794107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aef953-2cda-4d9d-b070-85228d2d3b5f"/>
    <ds:schemaRef ds:uri="756f3f7a-cc20-4157-bc78-ddc9769d8db6"/>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9DB7A6B-11AD-4EBA-B3D7-D793A1F9BB1A}">
  <ds:schemaRefs>
    <ds:schemaRef ds:uri="http://schemas.microsoft.com/sharepoint/v3/contenttype/forms"/>
  </ds:schemaRefs>
</ds:datastoreItem>
</file>

<file path=customXml/itemProps4.xml><?xml version="1.0" encoding="utf-8"?>
<ds:datastoreItem xmlns:ds="http://schemas.openxmlformats.org/officeDocument/2006/customXml" ds:itemID="{CD6FD4F5-FCBE-4142-A6CD-583F6A160A37}">
  <ds:schemaRefs>
    <ds:schemaRef ds:uri="http://schemas.microsoft.com/office/2006/metadata/properties"/>
    <ds:schemaRef ds:uri="http://schemas.microsoft.com/office/infopath/2007/PartnerControls"/>
    <ds:schemaRef ds:uri="ffaef953-2cda-4d9d-b070-85228d2d3b5f"/>
    <ds:schemaRef ds:uri="985ec44e-1bab-4c0b-9df0-6ba128686fc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1530</Words>
  <Characters>8416</Characters>
  <Application>Microsoft Office Word</Application>
  <DocSecurity>0</DocSecurity>
  <Lines>70</Lines>
  <Paragraphs>19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Abraham</dc:creator>
  <cp:keywords/>
  <dc:description/>
  <cp:lastModifiedBy>VOVF</cp:lastModifiedBy>
  <cp:revision>3</cp:revision>
  <dcterms:created xsi:type="dcterms:W3CDTF">2025-01-22T19:09:00Z</dcterms:created>
  <dcterms:modified xsi:type="dcterms:W3CDTF">2025-01-23T16:57:00Z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0x010100E52591365DD56D4D8750E674CD62EF32</vt:lpwstr>
  </property>
  <property fmtid="{D5CDD505-2E9C-101B-9397-08002B2CF9AE}" pid="3" name="Order">
    <vt:r8>9293200</vt:r8>
  </property>
</Properties>
</file>